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47510" w14:textId="217978C5" w:rsidR="00A41DC6" w:rsidRPr="0052514D" w:rsidRDefault="00A41DC6" w:rsidP="00A41DC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C161E7" w:rsidRPr="00C161E7">
        <w:rPr>
          <w:rFonts w:eastAsia="SimSun" w:cs="Arial"/>
          <w:sz w:val="24"/>
          <w:szCs w:val="24"/>
        </w:rPr>
        <w:t>R4-2407306</w:t>
      </w:r>
    </w:p>
    <w:p w14:paraId="240BEAB0" w14:textId="77777777" w:rsidR="00A41DC6" w:rsidRPr="0052514D" w:rsidRDefault="00A41DC6" w:rsidP="00A41DC6">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p w14:paraId="0ED85814" w14:textId="77777777" w:rsidR="00AA7B46" w:rsidRPr="00AA7B46" w:rsidRDefault="00AA7B46" w:rsidP="0007645A">
      <w:pPr>
        <w:rPr>
          <w:rFonts w:ascii="Arial" w:eastAsia="SimSun" w:hAnsi="Arial" w:cs="Arial"/>
          <w:b/>
          <w:noProof/>
        </w:rPr>
      </w:pPr>
    </w:p>
    <w:p w14:paraId="038E9536" w14:textId="14D46CDA"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D17">
        <w:rPr>
          <w:rFonts w:ascii="Arial" w:hAnsi="Arial" w:cs="Arial"/>
          <w:b/>
          <w:sz w:val="22"/>
          <w:szCs w:val="22"/>
        </w:rPr>
        <w:t>7</w:t>
      </w:r>
      <w:r w:rsidR="00436451">
        <w:rPr>
          <w:rFonts w:ascii="Arial" w:hAnsi="Arial" w:cs="Arial"/>
          <w:b/>
          <w:sz w:val="22"/>
          <w:szCs w:val="22"/>
        </w:rPr>
        <w:t>.</w:t>
      </w:r>
      <w:r w:rsidR="00EC4202">
        <w:rPr>
          <w:rFonts w:ascii="Arial" w:hAnsi="Arial" w:cs="Arial"/>
          <w:b/>
          <w:sz w:val="22"/>
          <w:szCs w:val="22"/>
        </w:rPr>
        <w:t>1</w:t>
      </w:r>
      <w:r w:rsidR="00D85241">
        <w:rPr>
          <w:rFonts w:ascii="Arial" w:hAnsi="Arial" w:cs="Arial"/>
          <w:b/>
          <w:sz w:val="22"/>
          <w:szCs w:val="22"/>
        </w:rPr>
        <w:t>6</w:t>
      </w:r>
      <w:r w:rsidR="0012561B">
        <w:rPr>
          <w:rFonts w:ascii="Arial" w:hAnsi="Arial" w:cs="Arial"/>
          <w:b/>
          <w:sz w:val="22"/>
          <w:szCs w:val="22"/>
        </w:rPr>
        <w:t>.</w:t>
      </w:r>
      <w:r w:rsidR="00147282">
        <w:rPr>
          <w:rFonts w:ascii="Arial" w:hAnsi="Arial" w:cs="Arial"/>
          <w:b/>
          <w:sz w:val="22"/>
          <w:szCs w:val="22"/>
        </w:rPr>
        <w:t>6</w:t>
      </w:r>
      <w:r w:rsidR="00ED08A2">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C682A6B"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D08A2" w:rsidRPr="00ED08A2">
        <w:rPr>
          <w:rFonts w:ascii="Arial" w:hAnsi="Arial" w:cs="Arial"/>
          <w:b/>
          <w:sz w:val="22"/>
          <w:szCs w:val="22"/>
        </w:rPr>
        <w:t xml:space="preserve">On mobility and service continuity for </w:t>
      </w:r>
      <w:proofErr w:type="spellStart"/>
      <w:r w:rsidR="00ED08A2" w:rsidRPr="00ED08A2">
        <w:rPr>
          <w:rFonts w:ascii="Arial" w:hAnsi="Arial" w:cs="Arial"/>
          <w:b/>
          <w:sz w:val="22"/>
          <w:szCs w:val="22"/>
        </w:rPr>
        <w:t>eNTN</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6D485876" w14:textId="01A45715" w:rsidR="005A6D17" w:rsidRDefault="001F65D9" w:rsidP="00BE397A">
      <w:pPr>
        <w:spacing w:after="120"/>
        <w:jc w:val="both"/>
      </w:pPr>
      <w:r>
        <w:rPr>
          <w:rFonts w:hint="eastAsia"/>
        </w:rPr>
        <w:t>In</w:t>
      </w:r>
      <w:r>
        <w:t xml:space="preserve"> RAN4#</w:t>
      </w:r>
      <w:r w:rsidR="00ED08A2">
        <w:t>1</w:t>
      </w:r>
      <w:r w:rsidR="00D85241">
        <w:t>10</w:t>
      </w:r>
      <w:r w:rsidR="005A6D17">
        <w:t>bis</w:t>
      </w:r>
      <w:r>
        <w:t xml:space="preserve"> meeting, the RRM impacts of </w:t>
      </w:r>
      <w:proofErr w:type="spellStart"/>
      <w:r>
        <w:t>eNTN</w:t>
      </w:r>
      <w:proofErr w:type="spellEnd"/>
      <w:r>
        <w:t xml:space="preserve"> have been discussed and WF was agreed in [1]</w:t>
      </w:r>
      <w:r w:rsidR="00ED08A2" w:rsidRPr="007362B7">
        <w:t xml:space="preserve">, and there are still some open issues </w:t>
      </w:r>
      <w:r w:rsidR="007362B7" w:rsidRPr="007362B7">
        <w:t>to be addressed.</w:t>
      </w:r>
      <w:r>
        <w:t xml:space="preserve"> </w:t>
      </w:r>
      <w:r w:rsidR="005A6D17">
        <w:t>There is one LS sent by RAN2 about</w:t>
      </w:r>
      <w:r w:rsidR="005A6D17" w:rsidRPr="005A6D17">
        <w:t xml:space="preserve"> reference point for SSB-</w:t>
      </w:r>
      <w:proofErr w:type="spellStart"/>
      <w:r w:rsidR="005A6D17" w:rsidRPr="005A6D17">
        <w:t>TimeOffset</w:t>
      </w:r>
      <w:proofErr w:type="spellEnd"/>
      <w:r w:rsidR="005A6D17">
        <w:t xml:space="preserve"> [2], and RAN4 needs to review and confirm it back to RAN2 in this meeting.</w:t>
      </w:r>
    </w:p>
    <w:p w14:paraId="5EA55A66" w14:textId="54737B27" w:rsidR="00ED08A2" w:rsidRDefault="00ED08A2" w:rsidP="00BE397A">
      <w:pPr>
        <w:spacing w:after="120"/>
        <w:jc w:val="both"/>
      </w:pPr>
      <w:r>
        <w:t xml:space="preserve">In this contribution we continue the discussion about the enhancement on </w:t>
      </w:r>
      <w:r w:rsidRPr="00ED08A2">
        <w:t xml:space="preserve">mobility and service continuity </w:t>
      </w:r>
      <w:r>
        <w:t xml:space="preserve">for the </w:t>
      </w:r>
      <w:proofErr w:type="spellStart"/>
      <w:r>
        <w:t>eNTN</w:t>
      </w:r>
      <w:proofErr w:type="spellEnd"/>
      <w:r>
        <w:t xml:space="preserve"> UE.</w:t>
      </w:r>
    </w:p>
    <w:p w14:paraId="5C9C7CB3" w14:textId="47639B29" w:rsidR="008B21BE" w:rsidRDefault="00454332" w:rsidP="008B21BE">
      <w:pPr>
        <w:pStyle w:val="Heading1"/>
        <w:numPr>
          <w:ilvl w:val="0"/>
          <w:numId w:val="10"/>
        </w:numPr>
        <w:pBdr>
          <w:top w:val="single" w:sz="12" w:space="2" w:color="auto"/>
        </w:pBdr>
        <w:jc w:val="both"/>
        <w:rPr>
          <w:sz w:val="32"/>
          <w:lang w:val="en-US"/>
        </w:rPr>
      </w:pPr>
      <w:r w:rsidRPr="00454332">
        <w:rPr>
          <w:sz w:val="32"/>
          <w:lang w:val="en-US"/>
        </w:rPr>
        <w:t>Idle/Inactive mode mobility enhancements</w:t>
      </w:r>
    </w:p>
    <w:p w14:paraId="4055B9EE" w14:textId="13F0A978" w:rsidR="0097762D" w:rsidRPr="00BD41C0" w:rsidRDefault="00BD41C0" w:rsidP="00BD41C0">
      <w:pPr>
        <w:outlineLvl w:val="2"/>
        <w:rPr>
          <w:b/>
          <w:u w:val="single"/>
          <w:lang w:eastAsia="ko-KR"/>
        </w:rPr>
      </w:pPr>
      <w:r>
        <w:rPr>
          <w:b/>
          <w:u w:val="single"/>
          <w:lang w:eastAsia="ko-KR"/>
        </w:rPr>
        <w:t>Issue 4-1: TN to NTN cell reselection</w:t>
      </w:r>
    </w:p>
    <w:tbl>
      <w:tblPr>
        <w:tblStyle w:val="TableGrid"/>
        <w:tblW w:w="0" w:type="auto"/>
        <w:tblLook w:val="04A0" w:firstRow="1" w:lastRow="0" w:firstColumn="1" w:lastColumn="0" w:noHBand="0" w:noVBand="1"/>
      </w:tblPr>
      <w:tblGrid>
        <w:gridCol w:w="9629"/>
      </w:tblGrid>
      <w:tr w:rsidR="0097762D" w14:paraId="7A838898" w14:textId="77777777" w:rsidTr="0097762D">
        <w:tc>
          <w:tcPr>
            <w:tcW w:w="9629" w:type="dxa"/>
          </w:tcPr>
          <w:p w14:paraId="236D7B46" w14:textId="77777777" w:rsidR="00BD41C0" w:rsidRDefault="00BD41C0" w:rsidP="00BD41C0">
            <w:pPr>
              <w:pStyle w:val="ListParagraph"/>
              <w:widowControl/>
              <w:numPr>
                <w:ilvl w:val="0"/>
                <w:numId w:val="45"/>
              </w:numPr>
              <w:spacing w:before="0" w:beforeAutospacing="0" w:after="0" w:line="240" w:lineRule="auto"/>
              <w:ind w:firstLineChars="0"/>
              <w:rPr>
                <w:color w:val="0070C0"/>
                <w:lang w:eastAsia="ja-JP"/>
              </w:rPr>
            </w:pPr>
            <w:r>
              <w:rPr>
                <w:color w:val="0070C0"/>
                <w:lang w:eastAsia="ja-JP"/>
              </w:rPr>
              <w:t>Measurement requirements on inter-frequency cell reselection from TN to NTN</w:t>
            </w:r>
          </w:p>
          <w:p w14:paraId="3A1F00CD" w14:textId="77777777" w:rsidR="00BD41C0" w:rsidRDefault="00BD41C0" w:rsidP="00BD41C0">
            <w:pPr>
              <w:pStyle w:val="ListParagraph"/>
              <w:widowControl/>
              <w:numPr>
                <w:ilvl w:val="1"/>
                <w:numId w:val="45"/>
              </w:numPr>
              <w:spacing w:before="0" w:beforeAutospacing="0" w:after="0" w:line="240" w:lineRule="auto"/>
              <w:ind w:left="1364" w:firstLineChars="0"/>
              <w:rPr>
                <w:color w:val="0070C0"/>
                <w:lang w:eastAsia="ja-JP"/>
              </w:rPr>
            </w:pPr>
            <w:r w:rsidRPr="00074E00">
              <w:rPr>
                <w:color w:val="0070C0"/>
                <w:lang w:eastAsia="ja-JP"/>
              </w:rPr>
              <w:t xml:space="preserve">Add a new subclause for TN cell reselection </w:t>
            </w:r>
            <w:r>
              <w:rPr>
                <w:color w:val="0070C0"/>
                <w:lang w:eastAsia="ja-JP"/>
              </w:rPr>
              <w:t xml:space="preserve">for an NTN capable </w:t>
            </w:r>
            <w:r w:rsidRPr="00074E00">
              <w:rPr>
                <w:color w:val="0070C0"/>
                <w:lang w:eastAsia="ja-JP"/>
              </w:rPr>
              <w:t xml:space="preserve">UE </w:t>
            </w:r>
            <w:r>
              <w:rPr>
                <w:color w:val="0070C0"/>
                <w:lang w:eastAsia="ja-JP"/>
              </w:rPr>
              <w:t xml:space="preserve">configured with </w:t>
            </w:r>
            <w:r w:rsidRPr="00074E00">
              <w:rPr>
                <w:color w:val="0070C0"/>
                <w:lang w:eastAsia="ja-JP"/>
              </w:rPr>
              <w:t xml:space="preserve">NTN </w:t>
            </w:r>
            <w:proofErr w:type="spellStart"/>
            <w:r w:rsidRPr="00074E00">
              <w:rPr>
                <w:color w:val="0070C0"/>
                <w:lang w:eastAsia="ja-JP"/>
              </w:rPr>
              <w:t>neighbour</w:t>
            </w:r>
            <w:proofErr w:type="spellEnd"/>
            <w:r w:rsidRPr="00074E00">
              <w:rPr>
                <w:color w:val="0070C0"/>
                <w:lang w:eastAsia="ja-JP"/>
              </w:rPr>
              <w:t xml:space="preserve"> cell measurements.</w:t>
            </w:r>
          </w:p>
          <w:p w14:paraId="526E802E" w14:textId="77777777" w:rsidR="00BD41C0" w:rsidRDefault="00BD41C0" w:rsidP="00BD41C0">
            <w:pPr>
              <w:pStyle w:val="ListParagraph"/>
              <w:widowControl/>
              <w:numPr>
                <w:ilvl w:val="1"/>
                <w:numId w:val="45"/>
              </w:numPr>
              <w:spacing w:before="0" w:beforeAutospacing="0" w:after="0" w:line="240" w:lineRule="auto"/>
              <w:ind w:left="1364" w:firstLineChars="0"/>
              <w:rPr>
                <w:color w:val="0070C0"/>
                <w:lang w:eastAsia="ja-JP"/>
              </w:rPr>
            </w:pPr>
            <w:r>
              <w:rPr>
                <w:color w:val="0070C0"/>
                <w:lang w:eastAsia="ja-JP"/>
              </w:rPr>
              <w:t>I</w:t>
            </w:r>
            <w:r w:rsidRPr="00095A47">
              <w:rPr>
                <w:color w:val="0070C0"/>
                <w:lang w:eastAsia="ja-JP"/>
              </w:rPr>
              <w:t xml:space="preserve">f both TN and NTN carriers are broadcasted to </w:t>
            </w:r>
            <w:r>
              <w:rPr>
                <w:color w:val="0070C0"/>
                <w:lang w:eastAsia="ja-JP"/>
              </w:rPr>
              <w:t xml:space="preserve">NTN capable </w:t>
            </w:r>
            <w:r w:rsidRPr="00095A47">
              <w:rPr>
                <w:color w:val="0070C0"/>
                <w:lang w:eastAsia="ja-JP"/>
              </w:rPr>
              <w:t xml:space="preserve">UE for </w:t>
            </w:r>
            <w:proofErr w:type="spellStart"/>
            <w:r w:rsidRPr="00095A47">
              <w:rPr>
                <w:color w:val="0070C0"/>
                <w:lang w:eastAsia="ja-JP"/>
              </w:rPr>
              <w:t>neighbour</w:t>
            </w:r>
            <w:proofErr w:type="spellEnd"/>
            <w:r w:rsidRPr="00095A47">
              <w:rPr>
                <w:color w:val="0070C0"/>
                <w:lang w:eastAsia="ja-JP"/>
              </w:rPr>
              <w:t xml:space="preserve"> cells measurement in IDLE/Inactive mode, </w:t>
            </w:r>
          </w:p>
          <w:p w14:paraId="74383807" w14:textId="77777777" w:rsidR="00BD41C0" w:rsidRDefault="00BD41C0" w:rsidP="00BD41C0">
            <w:pPr>
              <w:pStyle w:val="ListParagraph"/>
              <w:widowControl/>
              <w:numPr>
                <w:ilvl w:val="2"/>
                <w:numId w:val="45"/>
              </w:numPr>
              <w:spacing w:before="0" w:beforeAutospacing="0" w:after="0" w:line="240" w:lineRule="auto"/>
              <w:ind w:left="2084" w:firstLineChars="0"/>
              <w:rPr>
                <w:color w:val="0070C0"/>
                <w:lang w:eastAsia="ja-JP"/>
              </w:rPr>
            </w:pPr>
            <w:r>
              <w:rPr>
                <w:color w:val="0070C0"/>
                <w:lang w:eastAsia="ja-JP"/>
              </w:rPr>
              <w:t>Option 1:</w:t>
            </w:r>
          </w:p>
          <w:p w14:paraId="2BCA6426" w14:textId="77777777" w:rsidR="00BD41C0" w:rsidRDefault="00BD41C0" w:rsidP="00BD41C0">
            <w:pPr>
              <w:pStyle w:val="ListParagraph"/>
              <w:widowControl/>
              <w:numPr>
                <w:ilvl w:val="3"/>
                <w:numId w:val="45"/>
              </w:numPr>
              <w:spacing w:before="0" w:beforeAutospacing="0" w:after="0" w:line="240" w:lineRule="auto"/>
              <w:ind w:left="2804" w:firstLineChars="0"/>
              <w:rPr>
                <w:color w:val="0070C0"/>
                <w:lang w:eastAsia="ja-JP"/>
              </w:rPr>
            </w:pPr>
            <w:r>
              <w:rPr>
                <w:color w:val="0070C0"/>
                <w:lang w:eastAsia="ja-JP"/>
              </w:rPr>
              <w:t>C</w:t>
            </w:r>
            <w:r w:rsidRPr="00095A47">
              <w:rPr>
                <w:color w:val="0070C0"/>
                <w:lang w:eastAsia="ja-JP"/>
              </w:rPr>
              <w:t xml:space="preserve">ell reselection delay </w:t>
            </w:r>
            <w:r>
              <w:rPr>
                <w:color w:val="0070C0"/>
                <w:lang w:eastAsia="ja-JP"/>
              </w:rPr>
              <w:t>requirement is defined such that the UE may measure both TN and NTN cells/carriers.</w:t>
            </w:r>
          </w:p>
          <w:p w14:paraId="0E70C62C" w14:textId="77777777" w:rsidR="00BD41C0" w:rsidRPr="00C44B87" w:rsidRDefault="00BD41C0" w:rsidP="00BD41C0">
            <w:pPr>
              <w:pStyle w:val="ListParagraph"/>
              <w:widowControl/>
              <w:numPr>
                <w:ilvl w:val="2"/>
                <w:numId w:val="45"/>
              </w:numPr>
              <w:spacing w:before="0" w:beforeAutospacing="0" w:after="0" w:line="240" w:lineRule="auto"/>
              <w:ind w:left="2084" w:firstLineChars="0"/>
              <w:rPr>
                <w:color w:val="0070C0"/>
                <w:lang w:eastAsia="ja-JP"/>
              </w:rPr>
            </w:pPr>
            <w:r>
              <w:rPr>
                <w:color w:val="0070C0"/>
                <w:lang w:eastAsia="ja-JP"/>
              </w:rPr>
              <w:t>Option 2:</w:t>
            </w:r>
          </w:p>
          <w:p w14:paraId="1A885076" w14:textId="56C552A2" w:rsidR="0097762D" w:rsidRPr="00BD41C0" w:rsidRDefault="00BD41C0" w:rsidP="00BD41C0">
            <w:pPr>
              <w:pStyle w:val="ListParagraph"/>
              <w:widowControl/>
              <w:numPr>
                <w:ilvl w:val="3"/>
                <w:numId w:val="45"/>
              </w:numPr>
              <w:spacing w:before="0" w:beforeAutospacing="0" w:after="0" w:line="240" w:lineRule="auto"/>
              <w:ind w:left="2804" w:firstLineChars="0"/>
              <w:rPr>
                <w:color w:val="0070C0"/>
                <w:lang w:eastAsia="ja-JP"/>
              </w:rPr>
            </w:pPr>
            <w:r>
              <w:rPr>
                <w:color w:val="0070C0"/>
                <w:lang w:eastAsia="ja-JP"/>
              </w:rPr>
              <w:t>C</w:t>
            </w:r>
            <w:r w:rsidRPr="00095A47">
              <w:rPr>
                <w:color w:val="0070C0"/>
                <w:lang w:eastAsia="ja-JP"/>
              </w:rPr>
              <w:t xml:space="preserve">ell reselection delay </w:t>
            </w:r>
            <w:r>
              <w:rPr>
                <w:color w:val="0070C0"/>
                <w:lang w:eastAsia="ja-JP"/>
              </w:rPr>
              <w:t xml:space="preserve">requirement is defined such that </w:t>
            </w:r>
            <w:r w:rsidRPr="00154EEE">
              <w:rPr>
                <w:color w:val="0070C0"/>
                <w:lang w:eastAsia="ja-JP"/>
              </w:rPr>
              <w:t>TN inter-frequency cell</w:t>
            </w:r>
            <w:r>
              <w:rPr>
                <w:color w:val="0070C0"/>
                <w:lang w:eastAsia="ja-JP"/>
              </w:rPr>
              <w:t xml:space="preserve"> measurement is not extended.</w:t>
            </w:r>
          </w:p>
        </w:tc>
      </w:tr>
    </w:tbl>
    <w:p w14:paraId="3266B037" w14:textId="15EF4114" w:rsidR="000B431D" w:rsidRDefault="000B431D" w:rsidP="000B431D">
      <w:pPr>
        <w:jc w:val="both"/>
      </w:pPr>
      <w:r>
        <w:t>In TN-to-NTN</w:t>
      </w:r>
      <w:r w:rsidRPr="000B431D">
        <w:t xml:space="preserve"> </w:t>
      </w:r>
      <w:r>
        <w:t>cell reselection, both the NTN and TN carrier are counted in the TN-to-NTN</w:t>
      </w:r>
      <w:r w:rsidRPr="000B431D">
        <w:t xml:space="preserve"> </w:t>
      </w:r>
      <w:r>
        <w:t xml:space="preserve">reselection delay equation, however, the NTN carrier has not been reflected in the TN-to-TN reselection delay equation. In our view, it shall be </w:t>
      </w:r>
      <w:r w:rsidRPr="000B431D">
        <w:t>symmetric</w:t>
      </w:r>
      <w:r>
        <w:t xml:space="preserve"> between these two kinds of reselection scenarios, i.e., if </w:t>
      </w:r>
      <w:r w:rsidR="00B3480A">
        <w:t>SIB3/4/19 are broadcasted to UE for both TN and NTN neighbor cells measurements, UE needs to measure both TN and NTN carriers and in the worst case both TN and NTN carrier shall be counted in the delay equation.</w:t>
      </w:r>
      <w:r w:rsidR="00BD41C0">
        <w:t xml:space="preserve"> Thus, option 1 is our understanding. </w:t>
      </w:r>
    </w:p>
    <w:p w14:paraId="2313D02D" w14:textId="1C57E9CD" w:rsidR="00BD41C0" w:rsidRDefault="00095ED8" w:rsidP="00C23C39">
      <w:pPr>
        <w:spacing w:before="0" w:beforeAutospacing="0"/>
        <w:jc w:val="both"/>
        <w:rPr>
          <w:lang w:eastAsia="ja-JP"/>
        </w:rPr>
      </w:pPr>
      <w:r>
        <w:t>S</w:t>
      </w:r>
      <w:r w:rsidR="00BD41C0">
        <w:t>ome companies argued in previous meeting that UE may prioritize TN measurement and then if no TN available cell is detected, UE will move on to measure NTN cells. If the GNSS is OFF when UE is doing neighbor cell measurements, it</w:t>
      </w:r>
      <w:r>
        <w:rPr>
          <w:rFonts w:hint="eastAsia"/>
        </w:rPr>
        <w:t xml:space="preserve"> make</w:t>
      </w:r>
      <w:r>
        <w:t xml:space="preserve">s sense to us that UE shall prioritize TN cell searching first rather than wasting time to switching on the GNSS for NTN measurement. However, if </w:t>
      </w:r>
      <w:r w:rsidRPr="00274CB8">
        <w:rPr>
          <w:lang w:eastAsia="ja-JP"/>
        </w:rPr>
        <w:t>UE GNSS has been switched ON</w:t>
      </w:r>
      <w:r>
        <w:rPr>
          <w:lang w:eastAsia="ja-JP"/>
        </w:rPr>
        <w:t xml:space="preserve">, it can be more flexible for UE to detect both TN and NTN since no additional waiting time for </w:t>
      </w:r>
      <w:r w:rsidR="00C23C39">
        <w:rPr>
          <w:lang w:eastAsia="ja-JP"/>
        </w:rPr>
        <w:t xml:space="preserve">switching on </w:t>
      </w:r>
      <w:r>
        <w:rPr>
          <w:lang w:eastAsia="ja-JP"/>
        </w:rPr>
        <w:t xml:space="preserve">GNSS is needed, and </w:t>
      </w:r>
      <w:r w:rsidR="00C23C39">
        <w:rPr>
          <w:lang w:eastAsia="ja-JP"/>
        </w:rPr>
        <w:t>it’s up to UE implementation to</w:t>
      </w:r>
      <w:r>
        <w:rPr>
          <w:lang w:eastAsia="ja-JP"/>
        </w:rPr>
        <w:t xml:space="preserve"> firstly detect either TN or NTN.</w:t>
      </w:r>
    </w:p>
    <w:p w14:paraId="6E118759" w14:textId="1F1146B0" w:rsidR="00C23C39" w:rsidRDefault="00C23C39" w:rsidP="00C23C39">
      <w:pPr>
        <w:spacing w:before="0" w:beforeAutospacing="0"/>
        <w:jc w:val="both"/>
      </w:pPr>
      <w:r>
        <w:rPr>
          <w:lang w:eastAsia="ja-JP"/>
        </w:rPr>
        <w:lastRenderedPageBreak/>
        <w:t xml:space="preserve">Thus, we prefer to go with option 1, but if </w:t>
      </w:r>
      <w:proofErr w:type="gramStart"/>
      <w:r>
        <w:rPr>
          <w:lang w:eastAsia="ja-JP"/>
        </w:rPr>
        <w:t>it’s cannot be</w:t>
      </w:r>
      <w:proofErr w:type="gramEnd"/>
      <w:r>
        <w:rPr>
          <w:lang w:eastAsia="ja-JP"/>
        </w:rPr>
        <w:t xml:space="preserve"> agreed in RAN4, it would also make sense to differentiate the conditions of GNSS is ON or OFF.</w:t>
      </w:r>
    </w:p>
    <w:p w14:paraId="5FAB0A7D" w14:textId="2A695FA5" w:rsidR="00015372" w:rsidRDefault="00B3480A" w:rsidP="000B431D">
      <w:pPr>
        <w:jc w:val="both"/>
        <w:rPr>
          <w:b/>
          <w:bCs/>
          <w:i/>
          <w:iCs/>
        </w:rPr>
      </w:pPr>
      <w:r w:rsidRPr="00B3480A">
        <w:rPr>
          <w:b/>
          <w:bCs/>
          <w:i/>
          <w:iCs/>
        </w:rPr>
        <w:t>Proposal 1:</w:t>
      </w:r>
      <w:r w:rsidR="00015372">
        <w:rPr>
          <w:b/>
          <w:bCs/>
          <w:i/>
          <w:iCs/>
        </w:rPr>
        <w:t xml:space="preserve"> </w:t>
      </w:r>
      <w:r w:rsidR="00015372" w:rsidRPr="00015372">
        <w:rPr>
          <w:b/>
          <w:bCs/>
          <w:i/>
          <w:iCs/>
        </w:rPr>
        <w:t xml:space="preserve">If both TN and NTN carriers are broadcasted to NTN capable UE for </w:t>
      </w:r>
      <w:proofErr w:type="spellStart"/>
      <w:r w:rsidR="00015372" w:rsidRPr="00015372">
        <w:rPr>
          <w:b/>
          <w:bCs/>
          <w:i/>
          <w:iCs/>
        </w:rPr>
        <w:t>neighbour</w:t>
      </w:r>
      <w:proofErr w:type="spellEnd"/>
      <w:r w:rsidR="00015372" w:rsidRPr="00015372">
        <w:rPr>
          <w:b/>
          <w:bCs/>
          <w:i/>
          <w:iCs/>
        </w:rPr>
        <w:t xml:space="preserve"> cells measurement in IDLE/Inactive mode</w:t>
      </w:r>
      <w:r w:rsidR="00015372">
        <w:rPr>
          <w:b/>
          <w:bCs/>
          <w:i/>
          <w:iCs/>
        </w:rPr>
        <w:t>, we propose following alternatives:</w:t>
      </w:r>
    </w:p>
    <w:p w14:paraId="7CB5EE5F" w14:textId="6C405331" w:rsidR="00B3480A" w:rsidRPr="00015372" w:rsidRDefault="00015372" w:rsidP="00015372">
      <w:pPr>
        <w:pStyle w:val="ListParagraph"/>
        <w:numPr>
          <w:ilvl w:val="0"/>
          <w:numId w:val="62"/>
        </w:numPr>
        <w:spacing w:before="0" w:beforeAutospacing="0" w:line="240" w:lineRule="auto"/>
        <w:ind w:firstLineChars="0"/>
        <w:jc w:val="both"/>
        <w:rPr>
          <w:b/>
          <w:bCs/>
          <w:i/>
          <w:iCs/>
          <w:sz w:val="24"/>
          <w:szCs w:val="24"/>
        </w:rPr>
      </w:pPr>
      <w:r w:rsidRPr="00015372">
        <w:rPr>
          <w:b/>
          <w:bCs/>
          <w:i/>
          <w:iCs/>
          <w:sz w:val="24"/>
          <w:szCs w:val="24"/>
        </w:rPr>
        <w:t>Alt1: Cell reselection delay requirement is defined such that the UE may measure both TN and NTN cells/carriers.</w:t>
      </w:r>
    </w:p>
    <w:p w14:paraId="1A53B8BF" w14:textId="6B228A78" w:rsidR="00015372" w:rsidRPr="00015372" w:rsidRDefault="00015372" w:rsidP="00015372">
      <w:pPr>
        <w:pStyle w:val="ListParagraph"/>
        <w:numPr>
          <w:ilvl w:val="0"/>
          <w:numId w:val="62"/>
        </w:numPr>
        <w:spacing w:before="0" w:beforeAutospacing="0" w:line="240" w:lineRule="auto"/>
        <w:ind w:firstLineChars="0"/>
        <w:jc w:val="both"/>
        <w:rPr>
          <w:b/>
          <w:bCs/>
          <w:i/>
          <w:iCs/>
          <w:sz w:val="24"/>
          <w:szCs w:val="24"/>
        </w:rPr>
      </w:pPr>
      <w:r w:rsidRPr="00015372">
        <w:rPr>
          <w:b/>
          <w:bCs/>
          <w:i/>
          <w:iCs/>
          <w:sz w:val="24"/>
          <w:szCs w:val="24"/>
        </w:rPr>
        <w:t xml:space="preserve">Alt2: </w:t>
      </w:r>
      <w:r>
        <w:rPr>
          <w:b/>
          <w:bCs/>
          <w:i/>
          <w:iCs/>
          <w:sz w:val="24"/>
          <w:szCs w:val="24"/>
        </w:rPr>
        <w:t>I</w:t>
      </w:r>
      <w:r w:rsidRPr="00015372">
        <w:rPr>
          <w:b/>
          <w:bCs/>
          <w:i/>
          <w:iCs/>
          <w:sz w:val="24"/>
          <w:szCs w:val="24"/>
        </w:rPr>
        <w:t>f UE GNSS has been switched ON, cell reselection delay requirement is defined such that the UE may measure both TN and NTN cells/carriers</w:t>
      </w:r>
      <w:r>
        <w:rPr>
          <w:b/>
          <w:bCs/>
          <w:i/>
          <w:iCs/>
          <w:sz w:val="24"/>
          <w:szCs w:val="24"/>
        </w:rPr>
        <w:t>; otherwise, c</w:t>
      </w:r>
      <w:r w:rsidRPr="00015372">
        <w:rPr>
          <w:b/>
          <w:bCs/>
          <w:i/>
          <w:iCs/>
          <w:sz w:val="24"/>
          <w:szCs w:val="24"/>
        </w:rPr>
        <w:t>ell reselection delay requirement is defined such that TN inter-frequency cell measurement is not extended.</w:t>
      </w:r>
    </w:p>
    <w:tbl>
      <w:tblPr>
        <w:tblStyle w:val="TableGrid"/>
        <w:tblW w:w="0" w:type="auto"/>
        <w:tblLook w:val="04A0" w:firstRow="1" w:lastRow="0" w:firstColumn="1" w:lastColumn="0" w:noHBand="0" w:noVBand="1"/>
      </w:tblPr>
      <w:tblGrid>
        <w:gridCol w:w="9629"/>
      </w:tblGrid>
      <w:tr w:rsidR="00015372" w14:paraId="75F5B188" w14:textId="77777777" w:rsidTr="00015372">
        <w:tc>
          <w:tcPr>
            <w:tcW w:w="9629" w:type="dxa"/>
          </w:tcPr>
          <w:p w14:paraId="273A1054" w14:textId="77777777" w:rsidR="00015372" w:rsidRDefault="00015372" w:rsidP="00015372">
            <w:pPr>
              <w:pStyle w:val="ListParagraph"/>
              <w:widowControl/>
              <w:numPr>
                <w:ilvl w:val="0"/>
                <w:numId w:val="45"/>
              </w:numPr>
              <w:spacing w:before="0" w:beforeAutospacing="0" w:after="0" w:line="240" w:lineRule="auto"/>
              <w:ind w:firstLineChars="0"/>
              <w:rPr>
                <w:color w:val="0070C0"/>
                <w:lang w:eastAsia="ja-JP"/>
              </w:rPr>
            </w:pPr>
            <w:r>
              <w:rPr>
                <w:color w:val="0070C0"/>
                <w:lang w:eastAsia="ja-JP"/>
              </w:rPr>
              <w:t>Measurement requirements on inter-frequency cell reselection from TN to NTN is further optimized as below:</w:t>
            </w:r>
          </w:p>
          <w:p w14:paraId="799130B1" w14:textId="77777777" w:rsidR="00015372" w:rsidRDefault="00015372" w:rsidP="00015372">
            <w:pPr>
              <w:pStyle w:val="ListParagraph"/>
              <w:widowControl/>
              <w:numPr>
                <w:ilvl w:val="1"/>
                <w:numId w:val="45"/>
              </w:numPr>
              <w:spacing w:before="0" w:beforeAutospacing="0" w:after="0" w:line="240" w:lineRule="auto"/>
              <w:ind w:firstLineChars="0"/>
              <w:rPr>
                <w:color w:val="0070C0"/>
                <w:lang w:eastAsia="ja-JP"/>
              </w:rPr>
            </w:pPr>
            <w:r>
              <w:rPr>
                <w:color w:val="0070C0"/>
                <w:lang w:eastAsia="ja-JP"/>
              </w:rPr>
              <w:t>Option 1:</w:t>
            </w:r>
          </w:p>
          <w:p w14:paraId="5205EFC2" w14:textId="77777777" w:rsidR="00015372" w:rsidRDefault="00015372" w:rsidP="00015372">
            <w:pPr>
              <w:pStyle w:val="ListParagraph"/>
              <w:widowControl/>
              <w:numPr>
                <w:ilvl w:val="2"/>
                <w:numId w:val="45"/>
              </w:numPr>
              <w:spacing w:before="0" w:beforeAutospacing="0" w:after="0" w:line="240" w:lineRule="auto"/>
              <w:ind w:firstLineChars="0"/>
              <w:rPr>
                <w:color w:val="0070C0"/>
                <w:lang w:eastAsia="ja-JP"/>
              </w:rPr>
            </w:pPr>
            <w:r>
              <w:rPr>
                <w:color w:val="0070C0"/>
                <w:lang w:eastAsia="ja-JP"/>
              </w:rPr>
              <w:t>I</w:t>
            </w:r>
            <w:r w:rsidRPr="007528FB">
              <w:rPr>
                <w:color w:val="0070C0"/>
                <w:lang w:eastAsia="ja-JP"/>
              </w:rPr>
              <w:t>f UE is configured by network to have at least one high priority carrier which contains NTN cells, UE shall keep GNSS ON during such high priority frequency layer measurement even the UE is in TN coverage</w:t>
            </w:r>
          </w:p>
          <w:p w14:paraId="48CBD040" w14:textId="77777777" w:rsidR="00015372" w:rsidRPr="008E3176" w:rsidRDefault="00015372" w:rsidP="00015372">
            <w:pPr>
              <w:pStyle w:val="ListParagraph"/>
              <w:widowControl/>
              <w:numPr>
                <w:ilvl w:val="1"/>
                <w:numId w:val="45"/>
              </w:numPr>
              <w:spacing w:before="0" w:beforeAutospacing="0" w:after="0" w:line="240" w:lineRule="auto"/>
              <w:ind w:firstLineChars="0"/>
              <w:rPr>
                <w:rFonts w:eastAsia="Malgun Gothic"/>
                <w:color w:val="0070C0"/>
              </w:rPr>
            </w:pPr>
            <w:r>
              <w:rPr>
                <w:rFonts w:eastAsia="Arial Unicode MS"/>
                <w:color w:val="0070C0"/>
                <w:lang w:eastAsia="zh-CN"/>
              </w:rPr>
              <w:t>Option 2:</w:t>
            </w:r>
          </w:p>
          <w:p w14:paraId="4E00FADF" w14:textId="77777777" w:rsidR="00015372" w:rsidRDefault="00015372" w:rsidP="00015372">
            <w:pPr>
              <w:pStyle w:val="ListParagraph"/>
              <w:widowControl/>
              <w:numPr>
                <w:ilvl w:val="2"/>
                <w:numId w:val="45"/>
              </w:numPr>
              <w:spacing w:before="0" w:beforeAutospacing="0" w:after="0" w:line="240" w:lineRule="auto"/>
              <w:ind w:firstLineChars="0"/>
              <w:rPr>
                <w:rFonts w:eastAsia="Malgun Gothic"/>
                <w:color w:val="0070C0"/>
              </w:rPr>
            </w:pPr>
            <w:r w:rsidRPr="00C44B87">
              <w:rPr>
                <w:rFonts w:eastAsia="Arial Unicode MS"/>
                <w:color w:val="0070C0"/>
                <w:lang w:eastAsia="zh-CN"/>
              </w:rPr>
              <w:t xml:space="preserve">Split the condition of </w:t>
            </w:r>
            <w:r w:rsidRPr="00C44B87">
              <w:rPr>
                <w:rFonts w:eastAsia="Malgun Gothic"/>
                <w:color w:val="0070C0"/>
              </w:rPr>
              <w:t>searching for and measuring</w:t>
            </w:r>
            <w:r w:rsidRPr="00C44B87">
              <w:rPr>
                <w:rFonts w:eastAsia="Arial Unicode MS"/>
                <w:color w:val="0070C0"/>
                <w:lang w:eastAsia="zh-CN"/>
              </w:rPr>
              <w:t xml:space="preserve"> TN only</w:t>
            </w:r>
            <w:r w:rsidRPr="00C44B87">
              <w:rPr>
                <w:rFonts w:eastAsia="Malgun Gothic"/>
                <w:color w:val="0070C0"/>
              </w:rPr>
              <w:t xml:space="preserve"> inter-frequency layers and </w:t>
            </w:r>
            <w:r w:rsidRPr="00C44B87">
              <w:rPr>
                <w:rFonts w:eastAsia="Arial Unicode MS"/>
                <w:color w:val="0070C0"/>
                <w:lang w:eastAsia="zh-CN"/>
              </w:rPr>
              <w:t xml:space="preserve">the condition of </w:t>
            </w:r>
            <w:r w:rsidRPr="00C44B87">
              <w:rPr>
                <w:rFonts w:eastAsia="Malgun Gothic"/>
                <w:color w:val="0070C0"/>
              </w:rPr>
              <w:t>searching for and measuring</w:t>
            </w:r>
            <w:r w:rsidRPr="00C44B87">
              <w:rPr>
                <w:rFonts w:eastAsia="Arial Unicode MS"/>
                <w:color w:val="0070C0"/>
                <w:lang w:eastAsia="zh-CN"/>
              </w:rPr>
              <w:t xml:space="preserve"> TN+NTN</w:t>
            </w:r>
            <w:r w:rsidRPr="00C44B87">
              <w:rPr>
                <w:rFonts w:eastAsia="Malgun Gothic"/>
                <w:color w:val="0070C0"/>
              </w:rPr>
              <w:t xml:space="preserve"> inter-frequency layers. </w:t>
            </w:r>
            <w:r>
              <w:rPr>
                <w:rFonts w:eastAsia="Malgun Gothic"/>
                <w:color w:val="0070C0"/>
              </w:rPr>
              <w:t xml:space="preserve">E.g. </w:t>
            </w:r>
            <w:r w:rsidRPr="00C44B87">
              <w:rPr>
                <w:rFonts w:eastAsia="Malgun Gothic"/>
                <w:color w:val="0070C0"/>
              </w:rPr>
              <w:t>in Clause 4.2.2.4</w:t>
            </w:r>
          </w:p>
          <w:p w14:paraId="16A50BC4" w14:textId="77777777" w:rsidR="00015372" w:rsidRPr="00C44B87" w:rsidRDefault="00015372" w:rsidP="00015372">
            <w:pPr>
              <w:pStyle w:val="ListParagraph"/>
              <w:widowControl/>
              <w:numPr>
                <w:ilvl w:val="3"/>
                <w:numId w:val="45"/>
              </w:numPr>
              <w:overflowPunct/>
              <w:autoSpaceDE/>
              <w:autoSpaceDN/>
              <w:adjustRightInd/>
              <w:spacing w:before="0" w:beforeAutospacing="0" w:after="0" w:line="240" w:lineRule="auto"/>
              <w:ind w:firstLineChars="0"/>
              <w:contextualSpacing/>
              <w:textAlignment w:val="auto"/>
              <w:rPr>
                <w:rFonts w:eastAsia="Malgun Gothic"/>
                <w:color w:val="0070C0"/>
              </w:rPr>
            </w:pPr>
            <w:r w:rsidRPr="00C44B87">
              <w:rPr>
                <w:rFonts w:eastAsia="Malgun Gothic"/>
                <w:color w:val="0070C0"/>
              </w:rPr>
              <w:t xml:space="preserve">If </w:t>
            </w:r>
            <w:proofErr w:type="spellStart"/>
            <w:r w:rsidRPr="00C44B87">
              <w:rPr>
                <w:rFonts w:eastAsia="Malgun Gothic"/>
                <w:color w:val="0070C0"/>
              </w:rPr>
              <w:t>S</w:t>
            </w:r>
            <w:r w:rsidRPr="00C44B87">
              <w:rPr>
                <w:rFonts w:eastAsia="Malgun Gothic"/>
                <w:color w:val="0070C0"/>
                <w:vertAlign w:val="subscript"/>
              </w:rPr>
              <w:t>rxlev</w:t>
            </w:r>
            <w:proofErr w:type="spellEnd"/>
            <w:r w:rsidRPr="00C44B87">
              <w:rPr>
                <w:rFonts w:eastAsia="Malgun Gothic"/>
                <w:color w:val="0070C0"/>
              </w:rPr>
              <w:t xml:space="preserve"> </w:t>
            </w:r>
            <w:r w:rsidRPr="00C44B87">
              <w:rPr>
                <w:rFonts w:eastAsia="Malgun Gothic" w:hint="eastAsia"/>
                <w:color w:val="0070C0"/>
                <w:lang w:val="en-US"/>
              </w:rPr>
              <w:t>≤</w:t>
            </w:r>
            <w:r w:rsidRPr="00C44B87">
              <w:rPr>
                <w:rFonts w:eastAsia="Malgun Gothic"/>
                <w:color w:val="0070C0"/>
              </w:rPr>
              <w:t xml:space="preserve"> </w:t>
            </w:r>
            <w:proofErr w:type="spellStart"/>
            <w:r w:rsidRPr="00C44B87">
              <w:rPr>
                <w:rFonts w:eastAsia="Malgun Gothic"/>
                <w:color w:val="0070C0"/>
              </w:rPr>
              <w:t>S</w:t>
            </w:r>
            <w:r w:rsidRPr="00C44B87">
              <w:rPr>
                <w:rFonts w:eastAsia="Malgun Gothic"/>
                <w:color w:val="0070C0"/>
                <w:vertAlign w:val="subscript"/>
              </w:rPr>
              <w:t>nonIntraSearchP</w:t>
            </w:r>
            <w:proofErr w:type="spellEnd"/>
            <w:r w:rsidRPr="00C44B87">
              <w:rPr>
                <w:rFonts w:eastAsia="Malgun Gothic"/>
                <w:color w:val="0070C0"/>
              </w:rPr>
              <w:t xml:space="preserve"> or </w:t>
            </w:r>
            <w:proofErr w:type="spellStart"/>
            <w:r w:rsidRPr="00C44B87">
              <w:rPr>
                <w:rFonts w:eastAsia="Malgun Gothic"/>
                <w:color w:val="0070C0"/>
                <w:vertAlign w:val="subscript"/>
              </w:rPr>
              <w:t>Squal</w:t>
            </w:r>
            <w:proofErr w:type="spellEnd"/>
            <w:r w:rsidRPr="00C44B87">
              <w:rPr>
                <w:rFonts w:eastAsia="Malgun Gothic"/>
                <w:color w:val="0070C0"/>
              </w:rPr>
              <w:t xml:space="preserve"> </w:t>
            </w:r>
            <w:r w:rsidRPr="00C44B87">
              <w:rPr>
                <w:rFonts w:eastAsia="Malgun Gothic" w:hint="eastAsia"/>
                <w:color w:val="0070C0"/>
                <w:lang w:val="en-US"/>
              </w:rPr>
              <w:t>≤</w:t>
            </w:r>
            <w:r w:rsidRPr="00C44B87">
              <w:rPr>
                <w:rFonts w:eastAsia="Malgun Gothic"/>
                <w:color w:val="0070C0"/>
              </w:rPr>
              <w:t xml:space="preserve"> </w:t>
            </w:r>
            <w:proofErr w:type="spellStart"/>
            <w:r w:rsidRPr="00C44B87">
              <w:rPr>
                <w:rFonts w:eastAsia="Malgun Gothic"/>
                <w:color w:val="0070C0"/>
              </w:rPr>
              <w:t>S</w:t>
            </w:r>
            <w:r w:rsidRPr="00C44B87">
              <w:rPr>
                <w:rFonts w:eastAsia="Malgun Gothic"/>
                <w:color w:val="0070C0"/>
                <w:vertAlign w:val="subscript"/>
              </w:rPr>
              <w:t>nonIntraSearchQ</w:t>
            </w:r>
            <w:proofErr w:type="spellEnd"/>
            <w:r w:rsidRPr="00C44B87">
              <w:rPr>
                <w:rFonts w:eastAsia="Malgun Gothic"/>
                <w:color w:val="0070C0"/>
              </w:rPr>
              <w:t xml:space="preserve"> then the UE shall search for and measure inter-frequency layers belonging to TN of higher, equal or lower priority in preparation for possible reselection.</w:t>
            </w:r>
          </w:p>
          <w:p w14:paraId="596AEC3C" w14:textId="07F6A976" w:rsidR="00015372" w:rsidRPr="00015372" w:rsidRDefault="00015372" w:rsidP="00015372">
            <w:pPr>
              <w:pStyle w:val="ListParagraph"/>
              <w:widowControl/>
              <w:numPr>
                <w:ilvl w:val="3"/>
                <w:numId w:val="45"/>
              </w:numPr>
              <w:overflowPunct/>
              <w:autoSpaceDE/>
              <w:autoSpaceDN/>
              <w:adjustRightInd/>
              <w:spacing w:before="0" w:beforeAutospacing="0" w:after="0" w:line="240" w:lineRule="auto"/>
              <w:ind w:firstLineChars="0"/>
              <w:contextualSpacing/>
              <w:textAlignment w:val="auto"/>
              <w:rPr>
                <w:rFonts w:eastAsia="Malgun Gothic"/>
                <w:color w:val="0070C0"/>
              </w:rPr>
            </w:pPr>
            <w:r w:rsidRPr="00C44B87">
              <w:rPr>
                <w:rFonts w:eastAsia="Malgun Gothic"/>
                <w:color w:val="0070C0"/>
              </w:rPr>
              <w:t xml:space="preserve">If </w:t>
            </w:r>
            <w:proofErr w:type="spellStart"/>
            <w:r w:rsidRPr="00C44B87">
              <w:rPr>
                <w:rFonts w:eastAsia="Malgun Gothic"/>
                <w:color w:val="0070C0"/>
              </w:rPr>
              <w:t>S</w:t>
            </w:r>
            <w:r w:rsidRPr="00C44B87">
              <w:rPr>
                <w:rFonts w:eastAsia="Malgun Gothic"/>
                <w:color w:val="0070C0"/>
                <w:vertAlign w:val="subscript"/>
              </w:rPr>
              <w:t>rxlev</w:t>
            </w:r>
            <w:proofErr w:type="spellEnd"/>
            <w:r w:rsidRPr="00C44B87">
              <w:rPr>
                <w:rFonts w:eastAsia="Malgun Gothic"/>
                <w:color w:val="0070C0"/>
              </w:rPr>
              <w:t xml:space="preserve"> </w:t>
            </w:r>
            <w:r w:rsidRPr="00C44B87">
              <w:rPr>
                <w:rFonts w:eastAsia="Malgun Gothic" w:hint="eastAsia"/>
                <w:color w:val="0070C0"/>
                <w:lang w:val="en-US"/>
              </w:rPr>
              <w:t>≤</w:t>
            </w:r>
            <w:r w:rsidRPr="00C44B87">
              <w:rPr>
                <w:rFonts w:eastAsia="Malgun Gothic"/>
                <w:color w:val="0070C0"/>
              </w:rPr>
              <w:t xml:space="preserve"> (</w:t>
            </w:r>
            <w:proofErr w:type="spellStart"/>
            <w:r w:rsidRPr="00C44B87">
              <w:rPr>
                <w:rFonts w:eastAsia="Malgun Gothic"/>
                <w:color w:val="0070C0"/>
              </w:rPr>
              <w:t>S</w:t>
            </w:r>
            <w:r w:rsidRPr="00C44B87">
              <w:rPr>
                <w:rFonts w:eastAsia="Malgun Gothic"/>
                <w:color w:val="0070C0"/>
                <w:vertAlign w:val="subscript"/>
              </w:rPr>
              <w:t>nonIntraSearchP</w:t>
            </w:r>
            <w:proofErr w:type="spellEnd"/>
            <w:r w:rsidRPr="00C44B87">
              <w:rPr>
                <w:rFonts w:eastAsia="Malgun Gothic"/>
                <w:color w:val="0070C0"/>
              </w:rPr>
              <w:t xml:space="preserve"> – [O</w:t>
            </w:r>
            <w:r w:rsidRPr="00C44B87">
              <w:rPr>
                <w:rFonts w:eastAsia="Malgun Gothic"/>
                <w:color w:val="0070C0"/>
                <w:vertAlign w:val="subscript"/>
              </w:rPr>
              <w:t>NTN</w:t>
            </w:r>
            <w:r w:rsidRPr="00C44B87">
              <w:rPr>
                <w:rFonts w:eastAsia="Malgun Gothic"/>
                <w:color w:val="0070C0"/>
              </w:rPr>
              <w:t xml:space="preserve">] or </w:t>
            </w:r>
            <w:proofErr w:type="spellStart"/>
            <w:r w:rsidRPr="00C44B87">
              <w:rPr>
                <w:rFonts w:eastAsia="Malgun Gothic"/>
                <w:color w:val="0070C0"/>
                <w:vertAlign w:val="subscript"/>
              </w:rPr>
              <w:t>Squal</w:t>
            </w:r>
            <w:proofErr w:type="spellEnd"/>
            <w:r w:rsidRPr="00C44B87">
              <w:rPr>
                <w:rFonts w:eastAsia="Malgun Gothic"/>
                <w:color w:val="0070C0"/>
              </w:rPr>
              <w:t xml:space="preserve"> </w:t>
            </w:r>
            <w:r w:rsidRPr="00C44B87">
              <w:rPr>
                <w:rFonts w:eastAsia="Malgun Gothic" w:hint="eastAsia"/>
                <w:color w:val="0070C0"/>
                <w:lang w:val="en-US"/>
              </w:rPr>
              <w:t>≤</w:t>
            </w:r>
            <w:r w:rsidRPr="00C44B87">
              <w:rPr>
                <w:rFonts w:eastAsia="Malgun Gothic"/>
                <w:color w:val="0070C0"/>
              </w:rPr>
              <w:t xml:space="preserve"> </w:t>
            </w:r>
            <w:proofErr w:type="spellStart"/>
            <w:r w:rsidRPr="00C44B87">
              <w:rPr>
                <w:rFonts w:eastAsia="Malgun Gothic"/>
                <w:color w:val="0070C0"/>
              </w:rPr>
              <w:t>S</w:t>
            </w:r>
            <w:r w:rsidRPr="00C44B87">
              <w:rPr>
                <w:rFonts w:eastAsia="Malgun Gothic"/>
                <w:color w:val="0070C0"/>
                <w:vertAlign w:val="subscript"/>
              </w:rPr>
              <w:t>nonIntraSearchQ</w:t>
            </w:r>
            <w:proofErr w:type="spellEnd"/>
            <w:r w:rsidRPr="00C44B87">
              <w:rPr>
                <w:rFonts w:eastAsia="Malgun Gothic"/>
                <w:color w:val="0070C0"/>
              </w:rPr>
              <w:t xml:space="preserve"> – [O</w:t>
            </w:r>
            <w:r w:rsidRPr="00C44B87">
              <w:rPr>
                <w:rFonts w:eastAsia="Malgun Gothic"/>
                <w:color w:val="0070C0"/>
                <w:vertAlign w:val="subscript"/>
              </w:rPr>
              <w:t>NTN</w:t>
            </w:r>
            <w:r w:rsidRPr="00C44B87">
              <w:rPr>
                <w:rFonts w:eastAsia="Malgun Gothic"/>
                <w:color w:val="0070C0"/>
              </w:rPr>
              <w:t xml:space="preserve">] then the UE shall search for and measure inter-frequency layers belonging to TN and NTN of higher, equal or lower priority in preparation for possible reselection, provided </w:t>
            </w:r>
            <w:r w:rsidRPr="00C44B87">
              <w:rPr>
                <w:color w:val="0070C0"/>
                <w:lang w:eastAsia="ja-JP"/>
              </w:rPr>
              <w:t>UE has valid satellite information.</w:t>
            </w:r>
          </w:p>
        </w:tc>
      </w:tr>
    </w:tbl>
    <w:p w14:paraId="0652F583" w14:textId="25C9E0DB" w:rsidR="005711D2" w:rsidRDefault="004065CD" w:rsidP="004065CD">
      <w:pPr>
        <w:jc w:val="both"/>
        <w:rPr>
          <w:iCs/>
          <w:color w:val="000000" w:themeColor="text1"/>
        </w:rPr>
      </w:pPr>
      <w:r>
        <w:rPr>
          <w:iCs/>
          <w:color w:val="000000" w:themeColor="text1"/>
        </w:rPr>
        <w:t xml:space="preserve">As discussed in </w:t>
      </w:r>
      <w:r w:rsidR="00B3480A">
        <w:rPr>
          <w:iCs/>
          <w:color w:val="000000" w:themeColor="text1"/>
        </w:rPr>
        <w:t>previous</w:t>
      </w:r>
      <w:r>
        <w:rPr>
          <w:iCs/>
          <w:color w:val="000000" w:themeColor="text1"/>
        </w:rPr>
        <w:t xml:space="preserve"> meeting, when U</w:t>
      </w:r>
      <w:r w:rsidRPr="004065CD">
        <w:rPr>
          <w:iCs/>
          <w:color w:val="000000" w:themeColor="text1"/>
        </w:rPr>
        <w:t>E is camping on a TN serving cell but may perform cell re-selection to a target NTN cell, the difficult part is when UE shall turn on its GNSS modem for its GNSS location acquisition</w:t>
      </w:r>
      <w:r>
        <w:rPr>
          <w:iCs/>
          <w:color w:val="000000" w:themeColor="text1"/>
        </w:rPr>
        <w:t xml:space="preserve">. </w:t>
      </w:r>
      <w:r w:rsidRPr="004065CD">
        <w:rPr>
          <w:iCs/>
          <w:color w:val="000000" w:themeColor="text1"/>
        </w:rPr>
        <w:t>Since UE is in TN coverage and serving cell is good enough, it will waste power if UE keeps the GNSS modem ON</w:t>
      </w:r>
      <w:r>
        <w:rPr>
          <w:iCs/>
          <w:color w:val="000000" w:themeColor="text1"/>
        </w:rPr>
        <w:t xml:space="preserve">. </w:t>
      </w:r>
      <w:r w:rsidRPr="004065CD">
        <w:rPr>
          <w:iCs/>
          <w:color w:val="000000" w:themeColor="text1"/>
        </w:rPr>
        <w:t xml:space="preserve">However, if UE turns on the GNSS when mobility/re-selection is </w:t>
      </w:r>
      <w:r>
        <w:rPr>
          <w:iCs/>
          <w:color w:val="000000" w:themeColor="text1"/>
        </w:rPr>
        <w:t>triggered</w:t>
      </w:r>
      <w:r w:rsidRPr="004065CD">
        <w:rPr>
          <w:iCs/>
          <w:color w:val="000000" w:themeColor="text1"/>
        </w:rPr>
        <w:t>, then it will need much long time for UE to acquire the GNSS location (first time to fix for GNSS localization is time consuming)</w:t>
      </w:r>
      <w:r>
        <w:rPr>
          <w:iCs/>
          <w:color w:val="000000" w:themeColor="text1"/>
        </w:rPr>
        <w:t>.</w:t>
      </w:r>
    </w:p>
    <w:p w14:paraId="3DDE242D" w14:textId="3AEA4628" w:rsidR="004065CD" w:rsidRPr="004065CD" w:rsidRDefault="004065CD" w:rsidP="004065CD">
      <w:pPr>
        <w:jc w:val="both"/>
        <w:rPr>
          <w:b/>
          <w:bCs/>
          <w:i/>
          <w:color w:val="000000" w:themeColor="text1"/>
        </w:rPr>
      </w:pPr>
      <w:r w:rsidRPr="004065CD">
        <w:rPr>
          <w:b/>
          <w:bCs/>
          <w:i/>
          <w:color w:val="000000" w:themeColor="text1"/>
        </w:rPr>
        <w:t>Observation: Since the first fix of GNSS will take very long time during the cell reselection procedure, it’s not necessary to always consider UE turns on the GNSS only when the neighbor NTN measurement is triggered.</w:t>
      </w:r>
    </w:p>
    <w:p w14:paraId="2D972836" w14:textId="1612E1EC" w:rsidR="007E4E3A" w:rsidRDefault="007E4E3A" w:rsidP="007E4E3A">
      <w:pPr>
        <w:jc w:val="both"/>
        <w:rPr>
          <w:iCs/>
        </w:rPr>
      </w:pPr>
      <w:r>
        <w:rPr>
          <w:iCs/>
        </w:rPr>
        <w:t>In our view, there might be some scenarios can help UE to determine GNSS is ON or OFF. For instance, if</w:t>
      </w:r>
      <w:r w:rsidRPr="007E4E3A">
        <w:rPr>
          <w:iCs/>
        </w:rPr>
        <w:t xml:space="preserve"> UE is configured by network to have at least one high priority carrier which contains NTN cells,</w:t>
      </w:r>
      <w:r>
        <w:rPr>
          <w:iCs/>
        </w:rPr>
        <w:t xml:space="preserve"> </w:t>
      </w:r>
      <w:r w:rsidRPr="007E4E3A">
        <w:rPr>
          <w:iCs/>
        </w:rPr>
        <w:t xml:space="preserve">UE shall keep GNSS </w:t>
      </w:r>
      <w:r>
        <w:rPr>
          <w:iCs/>
        </w:rPr>
        <w:t>ON</w:t>
      </w:r>
      <w:r w:rsidRPr="007E4E3A">
        <w:rPr>
          <w:iCs/>
        </w:rPr>
        <w:t xml:space="preserve"> </w:t>
      </w:r>
      <w:r>
        <w:rPr>
          <w:iCs/>
        </w:rPr>
        <w:t>during</w:t>
      </w:r>
      <w:r w:rsidRPr="007E4E3A">
        <w:rPr>
          <w:iCs/>
        </w:rPr>
        <w:t xml:space="preserve"> such high priority frequency layer measurement</w:t>
      </w:r>
      <w:r>
        <w:rPr>
          <w:iCs/>
        </w:rPr>
        <w:t xml:space="preserve"> even the UE is in TN coverage.</w:t>
      </w:r>
      <w:r w:rsidR="007B5B1A">
        <w:rPr>
          <w:iCs/>
        </w:rPr>
        <w:t xml:space="preserve"> As shown in the following spec text of NTN requirement, even though </w:t>
      </w:r>
      <w:r w:rsidR="007B5B1A" w:rsidRPr="007B5B1A">
        <w:rPr>
          <w:iCs/>
        </w:rPr>
        <w:t>UE is not required to continuously measure the detected cell to evaluate the ongoing possibility of reselection</w:t>
      </w:r>
      <w:r w:rsidR="007B5B1A">
        <w:rPr>
          <w:iCs/>
        </w:rPr>
        <w:t xml:space="preserve"> after </w:t>
      </w:r>
      <w:r w:rsidR="007B5B1A" w:rsidRPr="007B5B1A">
        <w:rPr>
          <w:iCs/>
        </w:rPr>
        <w:t>determining that reselection has not occurred</w:t>
      </w:r>
      <w:r w:rsidR="007B5B1A">
        <w:rPr>
          <w:iCs/>
        </w:rPr>
        <w:t>, the high priority carrier searching is always there after configured in SIB4.</w:t>
      </w:r>
    </w:p>
    <w:tbl>
      <w:tblPr>
        <w:tblStyle w:val="TableGrid"/>
        <w:tblW w:w="0" w:type="auto"/>
        <w:tblLook w:val="04A0" w:firstRow="1" w:lastRow="0" w:firstColumn="1" w:lastColumn="0" w:noHBand="0" w:noVBand="1"/>
      </w:tblPr>
      <w:tblGrid>
        <w:gridCol w:w="9629"/>
      </w:tblGrid>
      <w:tr w:rsidR="007B5B1A" w14:paraId="5FEFDFFD" w14:textId="77777777" w:rsidTr="007B5B1A">
        <w:tc>
          <w:tcPr>
            <w:tcW w:w="9629" w:type="dxa"/>
          </w:tcPr>
          <w:p w14:paraId="7A632AC2" w14:textId="77777777" w:rsidR="007B5B1A" w:rsidRDefault="007B5B1A" w:rsidP="007B5B1A">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w:t>
            </w:r>
            <w:r>
              <w:lastRenderedPageBreak/>
              <w:t xml:space="preserve">location information, then </w:t>
            </w:r>
            <w:r w:rsidRPr="007B5B1A">
              <w:rPr>
                <w:highlight w:val="cyan"/>
              </w:rPr>
              <w:t xml:space="preserve">the UE shall search for inter-frequency layers of higher priority at least every </w:t>
            </w:r>
            <w:proofErr w:type="spellStart"/>
            <w:r w:rsidRPr="007B5B1A">
              <w:rPr>
                <w:highlight w:val="cyan"/>
              </w:rPr>
              <w:t>T</w:t>
            </w:r>
            <w:r w:rsidRPr="007B5B1A">
              <w:rPr>
                <w:highlight w:val="cyan"/>
                <w:vertAlign w:val="subscript"/>
              </w:rPr>
              <w:t>higher_priority_search</w:t>
            </w:r>
            <w:proofErr w:type="spellEnd"/>
            <w:r w:rsidRPr="007B5B1A">
              <w:rPr>
                <w:highlight w:val="cyan"/>
                <w:vertAlign w:val="subscript"/>
              </w:rPr>
              <w:t xml:space="preserve"> </w:t>
            </w:r>
            <w:r w:rsidRPr="007B5B1A">
              <w:rPr>
                <w:highlight w:val="cyan"/>
              </w:rPr>
              <w:t xml:space="preserve">where </w:t>
            </w:r>
            <w:proofErr w:type="spellStart"/>
            <w:r w:rsidRPr="007B5B1A">
              <w:rPr>
                <w:highlight w:val="cyan"/>
              </w:rPr>
              <w:t>T</w:t>
            </w:r>
            <w:r w:rsidRPr="007B5B1A">
              <w:rPr>
                <w:highlight w:val="cyan"/>
                <w:vertAlign w:val="subscript"/>
              </w:rPr>
              <w:t>higher_priority_search</w:t>
            </w:r>
            <w:proofErr w:type="spellEnd"/>
            <w:r w:rsidRPr="007B5B1A">
              <w:rPr>
                <w:highlight w:val="cyan"/>
              </w:rPr>
              <w:t xml:space="preserve"> is described in clause 4.2C.2.9</w:t>
            </w:r>
            <w:r>
              <w:t>.</w:t>
            </w:r>
          </w:p>
          <w:p w14:paraId="2D302A7A" w14:textId="23CD2F23" w:rsidR="007B5B1A" w:rsidRPr="007B5B1A" w:rsidRDefault="007B5B1A" w:rsidP="007B5B1A">
            <w:pPr>
              <w:rPr>
                <w:rFonts w:cs="v4.2.0"/>
              </w:rPr>
            </w:pPr>
            <w:r>
              <w:rPr>
                <w:rFonts w:cs="v4.2.0"/>
                <w:highlight w:val="yellow"/>
              </w:rPr>
              <w:t>-------</w:t>
            </w:r>
            <w:r w:rsidRPr="0003676E">
              <w:rPr>
                <w:rFonts w:cs="v4.2.0"/>
                <w:highlight w:val="yellow"/>
              </w:rPr>
              <w:t xml:space="preserve">Unrelated section </w:t>
            </w:r>
            <w:r>
              <w:rPr>
                <w:rFonts w:cs="v4.2.0"/>
                <w:highlight w:val="yellow"/>
              </w:rPr>
              <w:t>o</w:t>
            </w:r>
            <w:r w:rsidRPr="0003676E">
              <w:rPr>
                <w:rFonts w:cs="v4.2.0"/>
                <w:highlight w:val="yellow"/>
              </w:rPr>
              <w:t>mitted-------</w:t>
            </w:r>
          </w:p>
          <w:p w14:paraId="7B1B4340" w14:textId="1B994120" w:rsidR="007B5B1A" w:rsidRPr="007B5B1A" w:rsidRDefault="007B5B1A" w:rsidP="007B5B1A">
            <w:r w:rsidRPr="007B5B1A">
              <w:rPr>
                <w:highlight w:val="cyan"/>
              </w:rPr>
              <w:t xml:space="preserve">When higher priority cells are found by the higher priority search, they shall be measured at least every </w:t>
            </w:r>
            <w:proofErr w:type="spellStart"/>
            <w:proofErr w:type="gramStart"/>
            <w:r w:rsidRPr="007B5B1A">
              <w:rPr>
                <w:rFonts w:cs="v4.2.0"/>
                <w:highlight w:val="cyan"/>
              </w:rPr>
              <w:t>T</w:t>
            </w:r>
            <w:r w:rsidRPr="007B5B1A">
              <w:rPr>
                <w:rFonts w:cs="v4.2.0"/>
                <w:highlight w:val="cyan"/>
                <w:vertAlign w:val="subscript"/>
              </w:rPr>
              <w:t>measure,NR</w:t>
            </w:r>
            <w:proofErr w:type="gramEnd"/>
            <w:r w:rsidRPr="007B5B1A">
              <w:rPr>
                <w:rFonts w:cs="v4.2.0"/>
                <w:highlight w:val="cyan"/>
                <w:vertAlign w:val="subscript"/>
              </w:rPr>
              <w:t>_Inter</w:t>
            </w:r>
            <w:proofErr w:type="spellEnd"/>
            <w:r w:rsidRPr="007B5B1A">
              <w:rPr>
                <w:highlight w:val="cyan"/>
              </w:rPr>
              <w:t>. If, after detecting a cell in a higher priority search, it is determined that reselection has not occurred then the UE is not required to continuously measure the detected cell to evaluate the ongoing possibility of reselection.</w:t>
            </w:r>
            <w:r>
              <w:t xml:space="preserve">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tc>
      </w:tr>
    </w:tbl>
    <w:p w14:paraId="1CA0A04C" w14:textId="4A088344" w:rsidR="007B5B1A" w:rsidRDefault="007B5B1A" w:rsidP="007B5B1A">
      <w:pPr>
        <w:jc w:val="both"/>
        <w:rPr>
          <w:iCs/>
        </w:rPr>
      </w:pPr>
      <w:r>
        <w:rPr>
          <w:iCs/>
        </w:rPr>
        <w:lastRenderedPageBreak/>
        <w:t>Another way is to consider a n</w:t>
      </w:r>
      <w:r w:rsidRPr="007B5B1A">
        <w:rPr>
          <w:iCs/>
        </w:rPr>
        <w:t xml:space="preserve">ew threshold or threshold offset of </w:t>
      </w:r>
      <w:r>
        <w:rPr>
          <w:iCs/>
        </w:rPr>
        <w:t>RSRP/RSRQ</w:t>
      </w:r>
      <w:r w:rsidRPr="007B5B1A">
        <w:rPr>
          <w:iCs/>
        </w:rPr>
        <w:t xml:space="preserve"> for UE to trigger GNSS</w:t>
      </w:r>
      <w:r>
        <w:rPr>
          <w:iCs/>
        </w:rPr>
        <w:t>, and t</w:t>
      </w:r>
      <w:r w:rsidRPr="007B5B1A">
        <w:rPr>
          <w:iCs/>
        </w:rPr>
        <w:t xml:space="preserve">his offset </w:t>
      </w:r>
      <w:r>
        <w:rPr>
          <w:iCs/>
        </w:rPr>
        <w:t>can be</w:t>
      </w:r>
      <w:r w:rsidRPr="007B5B1A">
        <w:rPr>
          <w:iCs/>
        </w:rPr>
        <w:t xml:space="preserve"> applied on top of the serving cell </w:t>
      </w:r>
      <w:r>
        <w:rPr>
          <w:iCs/>
        </w:rPr>
        <w:t>RSRP/RSRQ</w:t>
      </w:r>
      <w:r w:rsidRPr="007B5B1A">
        <w:rPr>
          <w:iCs/>
        </w:rPr>
        <w:t xml:space="preserve"> threshold (legacy threshold for triggering neighbor cell measurement)</w:t>
      </w:r>
      <w:r>
        <w:rPr>
          <w:iCs/>
        </w:rPr>
        <w:t xml:space="preserve">. </w:t>
      </w:r>
      <w:r w:rsidRPr="007B5B1A">
        <w:rPr>
          <w:iCs/>
        </w:rPr>
        <w:t xml:space="preserve">For example, in the following figure, X1 is the legacy threshold to trigger neighbor cell measurement, and even higher than X1, there is a threshold X2 to trigger UE turning on the GNSS (X2&gt;X1). That </w:t>
      </w:r>
      <w:r>
        <w:rPr>
          <w:iCs/>
        </w:rPr>
        <w:t xml:space="preserve">can </w:t>
      </w:r>
      <w:proofErr w:type="gramStart"/>
      <w:r w:rsidRPr="007B5B1A">
        <w:rPr>
          <w:iCs/>
        </w:rPr>
        <w:t>makes</w:t>
      </w:r>
      <w:proofErr w:type="gramEnd"/>
      <w:r w:rsidRPr="007B5B1A">
        <w:rPr>
          <w:iCs/>
        </w:rPr>
        <w:t xml:space="preserve"> UE turn on the GNSS before it reaches X1 for neighbor NTN cell measurement.</w:t>
      </w:r>
    </w:p>
    <w:p w14:paraId="1831C02A" w14:textId="77777777" w:rsidR="008F529A" w:rsidRDefault="007B5B1A" w:rsidP="008F529A">
      <w:pPr>
        <w:keepNext/>
        <w:jc w:val="center"/>
      </w:pPr>
      <w:r w:rsidRPr="007B5B1A">
        <w:rPr>
          <w:iCs/>
          <w:noProof/>
        </w:rPr>
        <w:drawing>
          <wp:inline distT="0" distB="0" distL="0" distR="0" wp14:anchorId="20D05B8F" wp14:editId="38AB1052">
            <wp:extent cx="3813858" cy="1167620"/>
            <wp:effectExtent l="0" t="0" r="0" b="1270"/>
            <wp:docPr id="1203217117" name="Picture 1" descr="A blue and yellow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217117" name="Picture 1" descr="A blue and yellow rectangles&#10;&#10;Description automatically generated"/>
                    <pic:cNvPicPr/>
                  </pic:nvPicPr>
                  <pic:blipFill>
                    <a:blip r:embed="rId8"/>
                    <a:stretch>
                      <a:fillRect/>
                    </a:stretch>
                  </pic:blipFill>
                  <pic:spPr>
                    <a:xfrm>
                      <a:off x="0" y="0"/>
                      <a:ext cx="3871347" cy="1185220"/>
                    </a:xfrm>
                    <a:prstGeom prst="rect">
                      <a:avLst/>
                    </a:prstGeom>
                  </pic:spPr>
                </pic:pic>
              </a:graphicData>
            </a:graphic>
          </wp:inline>
        </w:drawing>
      </w:r>
    </w:p>
    <w:p w14:paraId="7591C98A" w14:textId="255C6A25" w:rsidR="007B5B1A" w:rsidRDefault="008F529A" w:rsidP="008F529A">
      <w:pPr>
        <w:pStyle w:val="Caption"/>
        <w:jc w:val="center"/>
        <w:rPr>
          <w:iCs/>
        </w:rPr>
      </w:pPr>
      <w:r>
        <w:t xml:space="preserve">Figure </w:t>
      </w:r>
      <w:r>
        <w:fldChar w:fldCharType="begin"/>
      </w:r>
      <w:r>
        <w:instrText xml:space="preserve"> SEQ Figure \* ARABIC </w:instrText>
      </w:r>
      <w:r>
        <w:fldChar w:fldCharType="separate"/>
      </w:r>
      <w:r w:rsidR="00F1294A">
        <w:rPr>
          <w:noProof/>
        </w:rPr>
        <w:t>1</w:t>
      </w:r>
      <w:r>
        <w:fldChar w:fldCharType="end"/>
      </w:r>
      <w:r>
        <w:t>. extra threshold to help turning on the GNSS at UE</w:t>
      </w:r>
    </w:p>
    <w:p w14:paraId="04E65D39" w14:textId="265B8643" w:rsidR="007B5B1A" w:rsidRDefault="007B5B1A" w:rsidP="00E67EC0">
      <w:pPr>
        <w:jc w:val="both"/>
        <w:rPr>
          <w:iCs/>
        </w:rPr>
      </w:pPr>
      <w:r>
        <w:rPr>
          <w:iCs/>
        </w:rPr>
        <w:t xml:space="preserve">However, regarding the limited time left for this WI, we think at least we can assume the GNSS is always ON when </w:t>
      </w:r>
      <w:r w:rsidRPr="007B5B1A">
        <w:rPr>
          <w:iCs/>
        </w:rPr>
        <w:t>higher priority search</w:t>
      </w:r>
      <w:r>
        <w:rPr>
          <w:iCs/>
        </w:rPr>
        <w:t xml:space="preserve"> is configured. </w:t>
      </w:r>
    </w:p>
    <w:p w14:paraId="663ABCEB" w14:textId="0F1F0C10" w:rsidR="007B5B1A" w:rsidRDefault="007B5B1A" w:rsidP="007B5B1A">
      <w:pPr>
        <w:spacing w:before="0" w:beforeAutospacing="0" w:after="120"/>
        <w:jc w:val="both"/>
        <w:rPr>
          <w:b/>
          <w:bCs/>
          <w:i/>
          <w:color w:val="000000" w:themeColor="text1"/>
        </w:rPr>
      </w:pPr>
      <w:r w:rsidRPr="000A7429">
        <w:rPr>
          <w:b/>
          <w:bCs/>
          <w:i/>
          <w:color w:val="000000" w:themeColor="text1"/>
        </w:rPr>
        <w:t xml:space="preserve">Proposal </w:t>
      </w:r>
      <w:r w:rsidR="00B3480A">
        <w:rPr>
          <w:b/>
          <w:bCs/>
          <w:i/>
          <w:color w:val="000000" w:themeColor="text1"/>
        </w:rPr>
        <w:t>2</w:t>
      </w:r>
      <w:r w:rsidRPr="000A7429">
        <w:rPr>
          <w:b/>
          <w:bCs/>
          <w:i/>
          <w:color w:val="000000" w:themeColor="text1"/>
        </w:rPr>
        <w:t xml:space="preserve">: </w:t>
      </w:r>
      <w:r w:rsidRPr="007B5B1A">
        <w:rPr>
          <w:b/>
          <w:bCs/>
          <w:i/>
          <w:color w:val="000000" w:themeColor="text1"/>
        </w:rPr>
        <w:t>if UE is configured by network to have at least one high priority carrier which contains NTN cells, UE shall keep GNSS ON during such high priority frequency layer measurement even the UE is in TN coverage</w:t>
      </w:r>
      <w:r>
        <w:rPr>
          <w:b/>
          <w:bCs/>
          <w:i/>
          <w:color w:val="000000" w:themeColor="text1"/>
        </w:rPr>
        <w:t>.</w:t>
      </w:r>
    </w:p>
    <w:p w14:paraId="4F729576" w14:textId="0520784F" w:rsidR="00E356F0" w:rsidRDefault="00E13ED3" w:rsidP="00E356F0">
      <w:pPr>
        <w:pStyle w:val="Heading1"/>
        <w:numPr>
          <w:ilvl w:val="0"/>
          <w:numId w:val="10"/>
        </w:numPr>
        <w:pBdr>
          <w:top w:val="single" w:sz="12" w:space="2" w:color="auto"/>
        </w:pBdr>
        <w:jc w:val="both"/>
        <w:rPr>
          <w:sz w:val="32"/>
        </w:rPr>
      </w:pPr>
      <w:r w:rsidRPr="00E13ED3">
        <w:rPr>
          <w:sz w:val="32"/>
        </w:rPr>
        <w:t xml:space="preserve">HO for satellite switching without PCI </w:t>
      </w:r>
      <w:proofErr w:type="gramStart"/>
      <w:r w:rsidRPr="00E13ED3">
        <w:rPr>
          <w:sz w:val="32"/>
        </w:rPr>
        <w:t>change</w:t>
      </w:r>
      <w:proofErr w:type="gramEnd"/>
    </w:p>
    <w:p w14:paraId="501A4DD1" w14:textId="1681A480" w:rsidR="00B3480A" w:rsidRPr="002C56D8" w:rsidRDefault="00D04932" w:rsidP="00B3480A">
      <w:pPr>
        <w:rPr>
          <w:bCs/>
          <w:color w:val="000000" w:themeColor="text1"/>
          <w:lang w:eastAsia="ko-KR"/>
        </w:rPr>
      </w:pPr>
      <w:r>
        <w:rPr>
          <w:bCs/>
          <w:color w:val="000000" w:themeColor="text1"/>
          <w:lang w:eastAsia="ko-KR"/>
        </w:rPr>
        <w:t xml:space="preserve">RAN4 received one </w:t>
      </w:r>
      <w:proofErr w:type="gramStart"/>
      <w:r>
        <w:rPr>
          <w:bCs/>
          <w:color w:val="000000" w:themeColor="text1"/>
          <w:lang w:eastAsia="ko-KR"/>
        </w:rPr>
        <w:t>LS[</w:t>
      </w:r>
      <w:proofErr w:type="gramEnd"/>
      <w:r>
        <w:rPr>
          <w:bCs/>
          <w:color w:val="000000" w:themeColor="text1"/>
          <w:lang w:eastAsia="ko-KR"/>
        </w:rPr>
        <w:t>2] from RAN2, and it asked RAN4 to confirm followings:</w:t>
      </w:r>
    </w:p>
    <w:tbl>
      <w:tblPr>
        <w:tblStyle w:val="TableGrid"/>
        <w:tblW w:w="0" w:type="auto"/>
        <w:tblLook w:val="04A0" w:firstRow="1" w:lastRow="0" w:firstColumn="1" w:lastColumn="0" w:noHBand="0" w:noVBand="1"/>
      </w:tblPr>
      <w:tblGrid>
        <w:gridCol w:w="9629"/>
      </w:tblGrid>
      <w:tr w:rsidR="00B3480A" w14:paraId="0274F293" w14:textId="77777777" w:rsidTr="000D14A9">
        <w:tc>
          <w:tcPr>
            <w:tcW w:w="9629" w:type="dxa"/>
          </w:tcPr>
          <w:p w14:paraId="45BFC5E8" w14:textId="77777777" w:rsidR="00CA03AD" w:rsidRPr="00CA03AD" w:rsidRDefault="00CA03AD" w:rsidP="00CA03AD">
            <w:pPr>
              <w:pStyle w:val="Heading1"/>
              <w:spacing w:before="0" w:after="0"/>
              <w:rPr>
                <w:sz w:val="20"/>
              </w:rPr>
            </w:pPr>
            <w:r w:rsidRPr="00CA03AD">
              <w:rPr>
                <w:sz w:val="20"/>
              </w:rPr>
              <w:lastRenderedPageBreak/>
              <w:t>1</w:t>
            </w:r>
            <w:r w:rsidRPr="00CA03AD">
              <w:rPr>
                <w:sz w:val="20"/>
              </w:rPr>
              <w:tab/>
              <w:t>Overall description</w:t>
            </w:r>
          </w:p>
          <w:p w14:paraId="6918223B" w14:textId="77777777" w:rsidR="00CA03AD" w:rsidRPr="00CA03AD" w:rsidRDefault="00CA03AD" w:rsidP="00CA03AD">
            <w:pPr>
              <w:spacing w:before="0" w:beforeAutospacing="0" w:after="0"/>
              <w:jc w:val="both"/>
              <w:rPr>
                <w:rFonts w:ascii="Arial" w:hAnsi="Arial" w:cs="Arial"/>
                <w:color w:val="000000"/>
                <w:sz w:val="20"/>
                <w:szCs w:val="20"/>
                <w:lang w:eastAsia="ko-KR"/>
              </w:rPr>
            </w:pPr>
            <w:r w:rsidRPr="00CA03AD">
              <w:rPr>
                <w:rFonts w:ascii="Arial" w:hAnsi="Arial" w:cs="Arial"/>
                <w:color w:val="000000"/>
                <w:sz w:val="20"/>
                <w:szCs w:val="20"/>
                <w:lang w:eastAsia="ko-KR"/>
              </w:rPr>
              <w:t xml:space="preserve">For satellite switch with resync procedure, the configuration of </w:t>
            </w:r>
            <w:proofErr w:type="spellStart"/>
            <w:r w:rsidRPr="00CA03AD">
              <w:rPr>
                <w:rFonts w:ascii="Arial" w:hAnsi="Arial" w:cs="Arial"/>
                <w:color w:val="000000"/>
                <w:sz w:val="20"/>
                <w:szCs w:val="20"/>
                <w:lang w:eastAsia="ko-KR"/>
              </w:rPr>
              <w:t>ssb-TimeOffset</w:t>
            </w:r>
            <w:proofErr w:type="spellEnd"/>
            <w:r w:rsidRPr="00CA03AD">
              <w:rPr>
                <w:rFonts w:ascii="Arial" w:hAnsi="Arial" w:cs="Arial"/>
                <w:color w:val="000000"/>
                <w:sz w:val="20"/>
                <w:szCs w:val="20"/>
                <w:lang w:eastAsia="ko-KR"/>
              </w:rPr>
              <w:t xml:space="preserve"> is introduced in SIB19 to</w:t>
            </w:r>
            <w:r w:rsidRPr="00CA03AD">
              <w:rPr>
                <w:sz w:val="20"/>
                <w:szCs w:val="20"/>
                <w:lang w:eastAsia="ja-JP"/>
              </w:rPr>
              <w:t xml:space="preserve"> </w:t>
            </w:r>
            <w:r w:rsidRPr="00CA03AD">
              <w:rPr>
                <w:rFonts w:ascii="Arial" w:hAnsi="Arial" w:cs="Arial"/>
                <w:color w:val="000000"/>
                <w:sz w:val="20"/>
                <w:szCs w:val="20"/>
                <w:lang w:eastAsia="ko-KR"/>
              </w:rPr>
              <w:t>indicate the time offset between the SSB from source and target satellite</w:t>
            </w:r>
            <w:r w:rsidRPr="00CA03AD">
              <w:rPr>
                <w:sz w:val="20"/>
                <w:szCs w:val="20"/>
              </w:rPr>
              <w:t xml:space="preserve"> </w:t>
            </w:r>
            <w:r w:rsidRPr="00CA03AD">
              <w:rPr>
                <w:rFonts w:ascii="Arial" w:hAnsi="Arial" w:cs="Arial"/>
                <w:color w:val="000000"/>
                <w:sz w:val="20"/>
                <w:szCs w:val="20"/>
                <w:lang w:eastAsia="ko-KR"/>
              </w:rPr>
              <w:t xml:space="preserve">at the uplink time synchronization reference point. </w:t>
            </w:r>
          </w:p>
          <w:p w14:paraId="5DE6202D" w14:textId="77777777" w:rsidR="00CA03AD" w:rsidRPr="00CA03AD" w:rsidRDefault="00CA03AD" w:rsidP="00CA03AD">
            <w:pPr>
              <w:spacing w:before="0" w:beforeAutospacing="0" w:after="0"/>
              <w:jc w:val="both"/>
              <w:rPr>
                <w:rFonts w:ascii="Arial" w:hAnsi="Arial" w:cs="Arial"/>
                <w:color w:val="000000"/>
                <w:sz w:val="20"/>
                <w:szCs w:val="20"/>
                <w:lang w:eastAsia="ko-KR"/>
              </w:rPr>
            </w:pPr>
            <w:r w:rsidRPr="00CA03AD">
              <w:rPr>
                <w:rFonts w:ascii="Arial" w:hAnsi="Arial" w:cs="Arial"/>
                <w:color w:val="000000"/>
                <w:sz w:val="20"/>
                <w:szCs w:val="20"/>
                <w:lang w:eastAsia="ko-KR"/>
              </w:rPr>
              <w:t xml:space="preserve">In RAN2#125bis meeting, RAN2 is considering adopting the </w:t>
            </w:r>
            <w:proofErr w:type="spellStart"/>
            <w:r w:rsidRPr="00CA03AD">
              <w:rPr>
                <w:rFonts w:ascii="Arial" w:hAnsi="Arial" w:cs="Arial"/>
                <w:color w:val="000000"/>
                <w:sz w:val="20"/>
                <w:szCs w:val="20"/>
                <w:lang w:eastAsia="ko-KR"/>
              </w:rPr>
              <w:t>gNB</w:t>
            </w:r>
            <w:proofErr w:type="spellEnd"/>
            <w:r w:rsidRPr="00CA03AD">
              <w:rPr>
                <w:rFonts w:ascii="Arial" w:hAnsi="Arial" w:cs="Arial"/>
                <w:color w:val="000000"/>
                <w:sz w:val="20"/>
                <w:szCs w:val="20"/>
                <w:lang w:eastAsia="ko-KR"/>
              </w:rPr>
              <w:t xml:space="preserve"> as the reference point of </w:t>
            </w:r>
            <w:proofErr w:type="spellStart"/>
            <w:r w:rsidRPr="00CA03AD">
              <w:rPr>
                <w:rFonts w:ascii="Arial" w:hAnsi="Arial" w:cs="Arial"/>
                <w:color w:val="000000"/>
                <w:sz w:val="20"/>
                <w:szCs w:val="20"/>
                <w:lang w:eastAsia="ko-KR"/>
              </w:rPr>
              <w:t>ssb-TimeOffset</w:t>
            </w:r>
            <w:proofErr w:type="spellEnd"/>
            <w:r w:rsidRPr="00CA03AD">
              <w:rPr>
                <w:rFonts w:ascii="Arial" w:hAnsi="Arial" w:cs="Arial"/>
                <w:color w:val="000000"/>
                <w:sz w:val="20"/>
                <w:szCs w:val="20"/>
                <w:lang w:eastAsia="ko-KR"/>
              </w:rPr>
              <w:t>. RAN2 would like to check with RAN4 and RAN1 whether this would be acceptable.</w:t>
            </w:r>
          </w:p>
          <w:p w14:paraId="606D4A05" w14:textId="77777777" w:rsidR="00CA03AD" w:rsidRPr="00CA03AD" w:rsidRDefault="00CA03AD" w:rsidP="00CA03AD">
            <w:pPr>
              <w:pStyle w:val="Heading1"/>
              <w:spacing w:before="0" w:after="0"/>
              <w:rPr>
                <w:sz w:val="20"/>
              </w:rPr>
            </w:pPr>
            <w:r w:rsidRPr="00CA03AD">
              <w:rPr>
                <w:sz w:val="20"/>
              </w:rPr>
              <w:t>2</w:t>
            </w:r>
            <w:r w:rsidRPr="00CA03AD">
              <w:rPr>
                <w:sz w:val="20"/>
              </w:rPr>
              <w:tab/>
              <w:t>Actions</w:t>
            </w:r>
          </w:p>
          <w:p w14:paraId="5BBD7C54" w14:textId="77777777" w:rsidR="00CA03AD" w:rsidRPr="00CA03AD" w:rsidRDefault="00CA03AD" w:rsidP="00CA03AD">
            <w:pPr>
              <w:spacing w:before="0" w:beforeAutospacing="0" w:after="0"/>
              <w:ind w:left="1985" w:hanging="1985"/>
              <w:rPr>
                <w:rFonts w:ascii="Arial" w:hAnsi="Arial" w:cs="Arial"/>
                <w:b/>
                <w:sz w:val="20"/>
                <w:szCs w:val="20"/>
              </w:rPr>
            </w:pPr>
            <w:r w:rsidRPr="00CA03AD">
              <w:rPr>
                <w:rFonts w:ascii="Arial" w:hAnsi="Arial" w:cs="Arial"/>
                <w:b/>
                <w:sz w:val="20"/>
                <w:szCs w:val="20"/>
              </w:rPr>
              <w:t>To RAN4, RAN1:</w:t>
            </w:r>
          </w:p>
          <w:p w14:paraId="0F578C8B" w14:textId="77777777" w:rsidR="00CA03AD" w:rsidRPr="00CA03AD" w:rsidRDefault="00CA03AD" w:rsidP="00CA03AD">
            <w:pPr>
              <w:spacing w:before="0" w:beforeAutospacing="0" w:after="0"/>
              <w:ind w:left="993" w:hanging="993"/>
              <w:jc w:val="both"/>
              <w:rPr>
                <w:rFonts w:ascii="Arial" w:hAnsi="Arial" w:cs="Arial"/>
                <w:sz w:val="20"/>
                <w:szCs w:val="20"/>
              </w:rPr>
            </w:pPr>
            <w:r w:rsidRPr="00CA03AD">
              <w:rPr>
                <w:rFonts w:ascii="Arial" w:hAnsi="Arial" w:cs="Arial"/>
                <w:b/>
                <w:sz w:val="20"/>
                <w:szCs w:val="20"/>
              </w:rPr>
              <w:t xml:space="preserve">ACTION: </w:t>
            </w:r>
            <w:r w:rsidRPr="00CA03AD">
              <w:rPr>
                <w:rFonts w:ascii="Arial" w:hAnsi="Arial" w:cs="Arial"/>
                <w:b/>
                <w:color w:val="0070C0"/>
                <w:sz w:val="20"/>
                <w:szCs w:val="20"/>
              </w:rPr>
              <w:tab/>
            </w:r>
            <w:r w:rsidRPr="00CA03AD">
              <w:rPr>
                <w:rFonts w:ascii="Arial" w:hAnsi="Arial" w:cs="Arial"/>
                <w:sz w:val="20"/>
                <w:szCs w:val="20"/>
              </w:rPr>
              <w:t>RAN2 respectfully asks RAN4 and RAN1 to take the above into consideration and come back if any issues are determined.</w:t>
            </w:r>
          </w:p>
          <w:p w14:paraId="63AD17BF" w14:textId="29A54E76" w:rsidR="00B3480A" w:rsidRPr="0042453F" w:rsidRDefault="00B3480A" w:rsidP="00B3480A">
            <w:pPr>
              <w:spacing w:before="0" w:beforeAutospacing="0" w:after="0"/>
              <w:ind w:firstLine="284"/>
              <w:rPr>
                <w:lang w:eastAsia="ja-JP"/>
              </w:rPr>
            </w:pPr>
          </w:p>
        </w:tc>
      </w:tr>
    </w:tbl>
    <w:p w14:paraId="5B246B8E" w14:textId="23D433F1" w:rsidR="002D5C49" w:rsidRDefault="00CA03AD" w:rsidP="002D5C49">
      <w:pPr>
        <w:jc w:val="both"/>
        <w:rPr>
          <w:bCs/>
          <w:lang w:eastAsia="ko-KR"/>
        </w:rPr>
      </w:pPr>
      <w:r>
        <w:rPr>
          <w:bCs/>
          <w:lang w:eastAsia="ko-KR"/>
        </w:rPr>
        <w:t xml:space="preserve">In RAN4 big CR, the </w:t>
      </w:r>
      <w:proofErr w:type="spellStart"/>
      <w:r w:rsidRPr="00CA03AD">
        <w:rPr>
          <w:bCs/>
          <w:lang w:eastAsia="ko-KR"/>
        </w:rPr>
        <w:t>ssb-TimeOffset</w:t>
      </w:r>
      <w:proofErr w:type="spellEnd"/>
      <w:r w:rsidRPr="00CA03AD">
        <w:rPr>
          <w:bCs/>
          <w:lang w:eastAsia="ko-KR"/>
        </w:rPr>
        <w:t xml:space="preserve"> has</w:t>
      </w:r>
      <w:r>
        <w:rPr>
          <w:bCs/>
          <w:lang w:eastAsia="ko-KR"/>
        </w:rPr>
        <w:t xml:space="preserve"> been used together with the </w:t>
      </w:r>
      <w:r w:rsidR="00065025" w:rsidRPr="00065025">
        <w:rPr>
          <w:bCs/>
          <w:lang w:eastAsia="ko-KR"/>
        </w:rPr>
        <w:t>propagation delay difference, as followings</w:t>
      </w:r>
      <w:r w:rsidR="00065025">
        <w:rPr>
          <w:bCs/>
          <w:lang w:eastAsia="ko-KR"/>
        </w:rPr>
        <w:t>:</w:t>
      </w:r>
    </w:p>
    <w:tbl>
      <w:tblPr>
        <w:tblStyle w:val="TableGrid"/>
        <w:tblW w:w="0" w:type="auto"/>
        <w:tblLook w:val="04A0" w:firstRow="1" w:lastRow="0" w:firstColumn="1" w:lastColumn="0" w:noHBand="0" w:noVBand="1"/>
      </w:tblPr>
      <w:tblGrid>
        <w:gridCol w:w="9629"/>
      </w:tblGrid>
      <w:tr w:rsidR="00065025" w14:paraId="03433D80" w14:textId="77777777" w:rsidTr="00065025">
        <w:tc>
          <w:tcPr>
            <w:tcW w:w="9629" w:type="dxa"/>
          </w:tcPr>
          <w:p w14:paraId="404B05BE" w14:textId="77777777" w:rsidR="00065025" w:rsidRDefault="00065025" w:rsidP="00065025">
            <w:pPr>
              <w:spacing w:after="0"/>
              <w:rPr>
                <w:rFonts w:eastAsia="SimSun" w:cs="v4.2.0"/>
                <w:position w:val="-6"/>
              </w:rPr>
            </w:pPr>
            <w:r>
              <w:rPr>
                <w:rFonts w:eastAsia="SimSun" w:cs="v4.2.0"/>
              </w:rPr>
              <w:t xml:space="preserve">When intra-frequency hard switch </w:t>
            </w:r>
            <w:r>
              <w:rPr>
                <w:rFonts w:eastAsia="SimSun" w:hint="eastAsia"/>
              </w:rPr>
              <w:t>to NR SAN cell</w:t>
            </w:r>
            <w:r>
              <w:rPr>
                <w:rFonts w:eastAsia="SimSun" w:cs="v4.2.0"/>
              </w:rPr>
              <w:t xml:space="preserve"> is commanded, the interruption time shall be less than </w:t>
            </w:r>
            <w:proofErr w:type="spellStart"/>
            <w:proofErr w:type="gramStart"/>
            <w:r>
              <w:rPr>
                <w:rFonts w:eastAsia="SimSun" w:cs="v4.2.0"/>
              </w:rPr>
              <w:t>T</w:t>
            </w:r>
            <w:r>
              <w:rPr>
                <w:rFonts w:eastAsia="SimSun" w:cs="v4.2.0"/>
                <w:vertAlign w:val="subscript"/>
              </w:rPr>
              <w:t>interrupt</w:t>
            </w:r>
            <w:proofErr w:type="spellEnd"/>
            <w:proofErr w:type="gramEnd"/>
          </w:p>
          <w:p w14:paraId="192824FD" w14:textId="77777777" w:rsidR="00065025" w:rsidRDefault="00065025" w:rsidP="00065025">
            <w:pPr>
              <w:keepLines/>
              <w:widowControl w:val="0"/>
              <w:spacing w:after="0"/>
              <w:rPr>
                <w:rFonts w:eastAsia="SimSun"/>
              </w:rPr>
            </w:pPr>
            <w:r>
              <w:rPr>
                <w:rFonts w:eastAsia="SimSun"/>
              </w:rPr>
              <w:tab/>
            </w:r>
            <w:proofErr w:type="spellStart"/>
            <w:r>
              <w:rPr>
                <w:rFonts w:eastAsia="SimSun" w:cs="v4.2.0"/>
              </w:rPr>
              <w:t>T</w:t>
            </w:r>
            <w:r>
              <w:rPr>
                <w:rFonts w:eastAsia="SimSun" w:cs="v4.2.0"/>
                <w:vertAlign w:val="subscript"/>
              </w:rPr>
              <w:t>interrupt</w:t>
            </w:r>
            <w:proofErr w:type="spellEnd"/>
            <w:r>
              <w:rPr>
                <w:rFonts w:eastAsia="SimSun"/>
              </w:rPr>
              <w:t xml:space="preserve"> = </w:t>
            </w:r>
            <w:proofErr w:type="spellStart"/>
            <w:r>
              <w:rPr>
                <w:rFonts w:eastAsia="SimSun"/>
              </w:rPr>
              <w:t>T</w:t>
            </w:r>
            <w:r>
              <w:rPr>
                <w:rFonts w:eastAsia="SimSun"/>
                <w:vertAlign w:val="subscript"/>
              </w:rPr>
              <w:t>search</w:t>
            </w:r>
            <w:proofErr w:type="spellEnd"/>
            <w:r>
              <w:rPr>
                <w:rFonts w:eastAsia="SimSun"/>
              </w:rPr>
              <w:t xml:space="preserve"> + T</w:t>
            </w:r>
            <w:r>
              <w:rPr>
                <w:rFonts w:eastAsia="SimSun"/>
                <w:vertAlign w:val="subscript"/>
              </w:rPr>
              <w:t>IU</w:t>
            </w:r>
            <w:r>
              <w:rPr>
                <w:rFonts w:eastAsia="SimSun"/>
              </w:rPr>
              <w:t xml:space="preserve"> + </w:t>
            </w:r>
            <w:proofErr w:type="spellStart"/>
            <w:proofErr w:type="gramStart"/>
            <w:r>
              <w:rPr>
                <w:rFonts w:eastAsia="SimSun"/>
              </w:rPr>
              <w:t>T</w:t>
            </w:r>
            <w:r>
              <w:rPr>
                <w:rFonts w:eastAsia="SimSun"/>
                <w:vertAlign w:val="subscript"/>
              </w:rPr>
              <w:t>processing</w:t>
            </w:r>
            <w:proofErr w:type="spellEnd"/>
            <w:r>
              <w:rPr>
                <w:rFonts w:eastAsia="SimSun"/>
              </w:rPr>
              <w:t xml:space="preserve"> </w:t>
            </w:r>
            <w:r>
              <w:rPr>
                <w:rFonts w:eastAsia="SimSun"/>
                <w:vertAlign w:val="subscript"/>
              </w:rPr>
              <w:t xml:space="preserve"> </w:t>
            </w:r>
            <w:r>
              <w:rPr>
                <w:rFonts w:eastAsia="SimSun"/>
              </w:rPr>
              <w:t>+</w:t>
            </w:r>
            <w:proofErr w:type="gramEnd"/>
            <w:r>
              <w:rPr>
                <w:rFonts w:eastAsia="SimSun"/>
              </w:rPr>
              <w:t xml:space="preserve"> T</w:t>
            </w:r>
            <w:r>
              <w:rPr>
                <w:rFonts w:eastAsia="SimSun"/>
                <w:vertAlign w:val="subscript"/>
              </w:rPr>
              <w:t>∆</w:t>
            </w:r>
            <w:r>
              <w:rPr>
                <w:rFonts w:eastAsia="SimSun"/>
              </w:rPr>
              <w:t xml:space="preserve"> + </w:t>
            </w:r>
            <w:proofErr w:type="spellStart"/>
            <w:r>
              <w:rPr>
                <w:rFonts w:eastAsia="SimSun"/>
              </w:rPr>
              <w:t>T</w:t>
            </w:r>
            <w:r>
              <w:rPr>
                <w:rFonts w:eastAsia="SimSun"/>
                <w:vertAlign w:val="subscript"/>
              </w:rPr>
              <w:t>margin</w:t>
            </w:r>
            <w:proofErr w:type="spellEnd"/>
            <w:r>
              <w:rPr>
                <w:rFonts w:eastAsia="SimSun"/>
                <w:vertAlign w:val="subscript"/>
              </w:rPr>
              <w:t xml:space="preserve"> </w:t>
            </w:r>
            <w:proofErr w:type="spellStart"/>
            <w:r>
              <w:rPr>
                <w:rFonts w:eastAsia="SimSun"/>
              </w:rPr>
              <w:t>ms</w:t>
            </w:r>
            <w:proofErr w:type="spellEnd"/>
          </w:p>
          <w:p w14:paraId="341FC505" w14:textId="77777777" w:rsidR="00065025" w:rsidRDefault="00065025" w:rsidP="00065025">
            <w:pPr>
              <w:spacing w:after="0"/>
              <w:rPr>
                <w:rFonts w:eastAsia="SimSun" w:cs="v4.2.0"/>
              </w:rPr>
            </w:pPr>
            <w:r>
              <w:rPr>
                <w:rFonts w:eastAsia="SimSun" w:cs="v4.2.0"/>
              </w:rPr>
              <w:t>Where:</w:t>
            </w:r>
          </w:p>
          <w:p w14:paraId="41D612C1" w14:textId="77777777" w:rsidR="00065025" w:rsidRDefault="00065025" w:rsidP="00065025">
            <w:pPr>
              <w:spacing w:after="0"/>
              <w:ind w:left="568" w:hanging="284"/>
              <w:rPr>
                <w:rFonts w:eastAsia="SimSun"/>
              </w:rPr>
            </w:pPr>
            <w:r>
              <w:rPr>
                <w:rFonts w:eastAsia="SimSun" w:hint="eastAsia"/>
              </w:rPr>
              <w:t>-</w:t>
            </w:r>
            <w:r>
              <w:rPr>
                <w:rFonts w:eastAsia="SimSun"/>
              </w:rPr>
              <w:tab/>
            </w:r>
            <w:proofErr w:type="spellStart"/>
            <w:r>
              <w:rPr>
                <w:rFonts w:eastAsia="SimSun"/>
              </w:rPr>
              <w:t>T</w:t>
            </w:r>
            <w:r>
              <w:rPr>
                <w:rFonts w:eastAsia="SimSun"/>
                <w:vertAlign w:val="subscript"/>
              </w:rPr>
              <w:t>search</w:t>
            </w:r>
            <w:proofErr w:type="spellEnd"/>
            <w:r>
              <w:rPr>
                <w:rFonts w:eastAsia="SimSun"/>
              </w:rPr>
              <w:t xml:space="preserve"> is the time required to search the target </w:t>
            </w:r>
            <w:r>
              <w:rPr>
                <w:rFonts w:eastAsia="SimSun" w:hint="eastAsia"/>
              </w:rPr>
              <w:t xml:space="preserve">NR SAN </w:t>
            </w:r>
            <w:r>
              <w:rPr>
                <w:rFonts w:eastAsia="SimSun"/>
              </w:rPr>
              <w:t xml:space="preserve">cell assuming the target cell is not already known when </w:t>
            </w:r>
            <w:r>
              <w:rPr>
                <w:rFonts w:eastAsia="SimSun" w:cs="v4.2.0"/>
              </w:rPr>
              <w:t>UE starts synchronizing with target satellite</w:t>
            </w:r>
            <w:r>
              <w:rPr>
                <w:rFonts w:eastAsia="SimSun"/>
              </w:rPr>
              <w:t>. If the target cell Es/</w:t>
            </w:r>
            <w:proofErr w:type="spellStart"/>
            <w:r>
              <w:rPr>
                <w:rFonts w:eastAsia="SimSun"/>
              </w:rPr>
              <w:t>Iot</w:t>
            </w:r>
            <w:proofErr w:type="spellEnd"/>
            <w:r>
              <w:rPr>
                <w:rFonts w:eastAsia="SimSun" w:hint="eastAsia"/>
              </w:rPr>
              <w:t xml:space="preserve"> </w:t>
            </w:r>
            <w:r>
              <w:rPr>
                <w:rFonts w:eastAsia="SimSun"/>
              </w:rPr>
              <w:t>≥</w:t>
            </w:r>
            <w:r>
              <w:rPr>
                <w:rFonts w:eastAsia="SimSun" w:hint="eastAsia"/>
              </w:rPr>
              <w:t xml:space="preserve"> </w:t>
            </w:r>
            <w:r>
              <w:rPr>
                <w:rFonts w:eastAsia="SimSun"/>
              </w:rPr>
              <w:t xml:space="preserve">-2 dB, then </w:t>
            </w:r>
            <w:proofErr w:type="spellStart"/>
            <w:r>
              <w:rPr>
                <w:rFonts w:eastAsia="SimSun"/>
              </w:rPr>
              <w:t>T</w:t>
            </w:r>
            <w:r>
              <w:rPr>
                <w:rFonts w:eastAsia="SimSun"/>
                <w:vertAlign w:val="subscript"/>
              </w:rPr>
              <w:t>search</w:t>
            </w:r>
            <w:proofErr w:type="spellEnd"/>
            <w:r>
              <w:rPr>
                <w:rFonts w:eastAsia="SimSun"/>
              </w:rPr>
              <w:t xml:space="preserve"> = [</w:t>
            </w:r>
            <w:proofErr w:type="spellStart"/>
            <w:r>
              <w:rPr>
                <w:rFonts w:eastAsia="SimSun"/>
              </w:rPr>
              <w:t>T</w:t>
            </w:r>
            <w:r>
              <w:rPr>
                <w:rFonts w:eastAsia="SimSun"/>
                <w:vertAlign w:val="subscript"/>
              </w:rPr>
              <w:t>first_SSB</w:t>
            </w:r>
            <w:proofErr w:type="spellEnd"/>
            <w:r>
              <w:rPr>
                <w:rFonts w:eastAsia="SimSun"/>
              </w:rPr>
              <w:t xml:space="preserve">] </w:t>
            </w:r>
            <w:proofErr w:type="spellStart"/>
            <w:r>
              <w:rPr>
                <w:rFonts w:eastAsia="SimSun"/>
              </w:rPr>
              <w:t>ms.</w:t>
            </w:r>
            <w:proofErr w:type="spellEnd"/>
            <w:r>
              <w:rPr>
                <w:rFonts w:eastAsia="SimSun"/>
              </w:rPr>
              <w:t xml:space="preserve"> Regardless of whether DRX is in use by the UE, </w:t>
            </w:r>
            <w:proofErr w:type="spellStart"/>
            <w:r>
              <w:rPr>
                <w:rFonts w:eastAsia="SimSun"/>
              </w:rPr>
              <w:t>T</w:t>
            </w:r>
            <w:r>
              <w:rPr>
                <w:rFonts w:eastAsia="SimSun"/>
                <w:vertAlign w:val="subscript"/>
              </w:rPr>
              <w:t>search</w:t>
            </w:r>
            <w:proofErr w:type="spellEnd"/>
            <w:r>
              <w:rPr>
                <w:rFonts w:eastAsia="SimSun"/>
              </w:rPr>
              <w:t xml:space="preserve"> shall still be based on non-DRX target cell search times.</w:t>
            </w:r>
          </w:p>
          <w:p w14:paraId="4C9A49F5" w14:textId="77777777" w:rsidR="00065025" w:rsidRDefault="00065025" w:rsidP="00065025">
            <w:pPr>
              <w:spacing w:after="0"/>
              <w:ind w:left="568" w:hanging="284"/>
              <w:rPr>
                <w:rFonts w:eastAsia="SimSun"/>
              </w:rPr>
            </w:pPr>
            <w:r>
              <w:rPr>
                <w:rFonts w:eastAsia="SimSun" w:hint="eastAsia"/>
              </w:rPr>
              <w:t>-</w:t>
            </w:r>
            <w:r>
              <w:rPr>
                <w:rFonts w:eastAsia="SimSun"/>
              </w:rPr>
              <w:tab/>
            </w:r>
            <w:proofErr w:type="spellStart"/>
            <w:r>
              <w:rPr>
                <w:rFonts w:eastAsia="SimSun"/>
              </w:rPr>
              <w:t>T</w:t>
            </w:r>
            <w:r>
              <w:rPr>
                <w:rFonts w:eastAsia="SimSun"/>
                <w:vertAlign w:val="subscript"/>
              </w:rPr>
              <w:t>first_SSB</w:t>
            </w:r>
            <w:proofErr w:type="spellEnd"/>
            <w:r>
              <w:rPr>
                <w:rFonts w:eastAsia="SimSun"/>
              </w:rPr>
              <w:t xml:space="preserve"> is the time to the end of the first complete SSB burst of target satellite indicated by </w:t>
            </w:r>
          </w:p>
          <w:p w14:paraId="1BAAD1E7" w14:textId="16272DD0" w:rsidR="00065025" w:rsidRPr="00065025" w:rsidRDefault="00065025" w:rsidP="00065025">
            <w:pPr>
              <w:spacing w:after="0"/>
              <w:ind w:leftChars="242" w:left="865" w:hanging="284"/>
              <w:rPr>
                <w:rFonts w:eastAsia="SimSun"/>
              </w:rPr>
            </w:pPr>
            <w:r>
              <w:rPr>
                <w:rFonts w:eastAsia="SimSun" w:hint="eastAsia"/>
              </w:rPr>
              <w:t>-</w:t>
            </w:r>
            <w:r>
              <w:rPr>
                <w:rFonts w:eastAsia="SimSun"/>
              </w:rPr>
              <w:tab/>
            </w:r>
            <w:r w:rsidRPr="00065025">
              <w:rPr>
                <w:rFonts w:eastAsia="SimSun"/>
                <w:highlight w:val="yellow"/>
              </w:rPr>
              <w:t xml:space="preserve">SSB of the source satellite serving cell + </w:t>
            </w:r>
            <w:proofErr w:type="spellStart"/>
            <w:r w:rsidRPr="00065025">
              <w:rPr>
                <w:rFonts w:eastAsia="SimSun"/>
                <w:highlight w:val="yellow"/>
              </w:rPr>
              <w:t>ssb-TimeOffset</w:t>
            </w:r>
            <w:proofErr w:type="spellEnd"/>
            <w:r w:rsidRPr="00065025">
              <w:rPr>
                <w:rFonts w:eastAsia="SimSun"/>
                <w:highlight w:val="yellow"/>
              </w:rPr>
              <w:t xml:space="preserve"> + propagation delay difference, where the propagation delay difference is the difference </w:t>
            </w:r>
            <w:r w:rsidRPr="00065025">
              <w:rPr>
                <w:rFonts w:eastAsia="SimSun" w:hint="eastAsia"/>
                <w:highlight w:val="yellow"/>
              </w:rPr>
              <w:t xml:space="preserve">between the </w:t>
            </w:r>
            <w:r w:rsidRPr="00065025">
              <w:rPr>
                <w:rFonts w:eastAsia="SimSun"/>
                <w:highlight w:val="yellow"/>
              </w:rPr>
              <w:t>propagation delays of the serving satellite and the target satellite.</w:t>
            </w:r>
          </w:p>
        </w:tc>
      </w:tr>
    </w:tbl>
    <w:p w14:paraId="1440A8A3" w14:textId="1AC54C66" w:rsidR="00065025" w:rsidRDefault="00065025" w:rsidP="002D5C49">
      <w:pPr>
        <w:jc w:val="both"/>
        <w:rPr>
          <w:rFonts w:eastAsia="SimSun"/>
          <w:lang w:eastAsia="ja-JP"/>
        </w:rPr>
      </w:pPr>
      <w:r>
        <w:rPr>
          <w:rFonts w:eastAsia="SimSun"/>
          <w:lang w:eastAsia="ja-JP"/>
        </w:rPr>
        <w:t xml:space="preserve">So far, the </w:t>
      </w:r>
      <w:r w:rsidRPr="00065025">
        <w:rPr>
          <w:rFonts w:eastAsia="SimSun"/>
          <w:lang w:eastAsia="ja-JP"/>
        </w:rPr>
        <w:t xml:space="preserve">propagation delay difference is the difference </w:t>
      </w:r>
      <w:r w:rsidRPr="00065025">
        <w:rPr>
          <w:rFonts w:eastAsia="SimSun" w:hint="eastAsia"/>
          <w:lang w:eastAsia="ja-JP"/>
        </w:rPr>
        <w:t xml:space="preserve">between the </w:t>
      </w:r>
      <w:r w:rsidRPr="00065025">
        <w:rPr>
          <w:rFonts w:eastAsia="SimSun"/>
          <w:lang w:eastAsia="ja-JP"/>
        </w:rPr>
        <w:t>propagation delays of the serving satellite and the target satellite</w:t>
      </w:r>
      <w:r>
        <w:rPr>
          <w:rFonts w:eastAsia="SimSun"/>
          <w:lang w:eastAsia="ja-JP"/>
        </w:rPr>
        <w:t xml:space="preserve">. </w:t>
      </w:r>
      <w:proofErr w:type="gramStart"/>
      <w:r>
        <w:rPr>
          <w:rFonts w:eastAsia="SimSun"/>
          <w:lang w:eastAsia="ja-JP"/>
        </w:rPr>
        <w:t>In order to</w:t>
      </w:r>
      <w:proofErr w:type="gramEnd"/>
      <w:r>
        <w:rPr>
          <w:rFonts w:eastAsia="SimSun"/>
          <w:lang w:eastAsia="ja-JP"/>
        </w:rPr>
        <w:t xml:space="preserve"> confirm if RAN2’s conclusion can work in RAN4, we need to figure whether the service-link propagation difference and feeder-link delay difference can be known to UE or not.</w:t>
      </w:r>
    </w:p>
    <w:p w14:paraId="451D6F5A" w14:textId="407E4908" w:rsidR="00F53B9B" w:rsidRDefault="00065025" w:rsidP="002D5C49">
      <w:pPr>
        <w:jc w:val="both"/>
        <w:rPr>
          <w:rFonts w:eastAsia="SimSun"/>
          <w:lang w:eastAsia="ja-JP"/>
        </w:rPr>
      </w:pPr>
      <w:r>
        <w:rPr>
          <w:rFonts w:eastAsia="SimSun"/>
          <w:lang w:eastAsia="ja-JP"/>
        </w:rPr>
        <w:t>Service-link propagation difference for old satellite and new satellite can be derived from the ephemeris information of both satellites. And the feeder-link delay difference between ‘old satellite to reference point</w:t>
      </w:r>
      <w:r w:rsidR="00F53B9B">
        <w:rPr>
          <w:rFonts w:eastAsia="SimSun"/>
          <w:lang w:eastAsia="ja-JP"/>
        </w:rPr>
        <w:t xml:space="preserve"> (</w:t>
      </w:r>
      <w:proofErr w:type="spellStart"/>
      <w:r w:rsidR="00F53B9B">
        <w:rPr>
          <w:rFonts w:eastAsia="SimSun"/>
          <w:lang w:eastAsia="ja-JP"/>
        </w:rPr>
        <w:t>gNB</w:t>
      </w:r>
      <w:proofErr w:type="spellEnd"/>
      <w:r w:rsidR="00F53B9B">
        <w:rPr>
          <w:rFonts w:eastAsia="SimSun"/>
          <w:lang w:eastAsia="ja-JP"/>
        </w:rPr>
        <w:t xml:space="preserve"> in RAN2 LS)</w:t>
      </w:r>
      <w:r>
        <w:rPr>
          <w:rFonts w:eastAsia="SimSun"/>
          <w:lang w:eastAsia="ja-JP"/>
        </w:rPr>
        <w:t>’ and ‘new satellite to reference point</w:t>
      </w:r>
      <w:r w:rsidR="00F53B9B">
        <w:rPr>
          <w:rFonts w:eastAsia="SimSun"/>
          <w:lang w:eastAsia="ja-JP"/>
        </w:rPr>
        <w:t xml:space="preserve"> (</w:t>
      </w:r>
      <w:proofErr w:type="spellStart"/>
      <w:r w:rsidR="00F53B9B">
        <w:rPr>
          <w:rFonts w:eastAsia="SimSun"/>
          <w:lang w:eastAsia="ja-JP"/>
        </w:rPr>
        <w:t>gNB</w:t>
      </w:r>
      <w:proofErr w:type="spellEnd"/>
      <w:r w:rsidR="00F53B9B">
        <w:rPr>
          <w:rFonts w:eastAsia="SimSun"/>
          <w:lang w:eastAsia="ja-JP"/>
        </w:rPr>
        <w:t xml:space="preserve"> in RAN2 LS)</w:t>
      </w:r>
      <w:r>
        <w:rPr>
          <w:rFonts w:eastAsia="SimSun"/>
          <w:lang w:eastAsia="ja-JP"/>
        </w:rPr>
        <w:t xml:space="preserve">’ can be derived based on the common TA information. </w:t>
      </w:r>
    </w:p>
    <w:p w14:paraId="121CA0B8" w14:textId="7E5CBA44" w:rsidR="00065025" w:rsidRDefault="00065025" w:rsidP="002D5C49">
      <w:pPr>
        <w:jc w:val="both"/>
        <w:rPr>
          <w:rFonts w:eastAsia="SimSun"/>
        </w:rPr>
      </w:pPr>
      <w:r>
        <w:rPr>
          <w:rFonts w:eastAsia="SimSun"/>
          <w:lang w:eastAsia="ja-JP"/>
        </w:rPr>
        <w:t xml:space="preserve">In TS38.331, the old satellite common TA is configured in </w:t>
      </w:r>
      <w:r w:rsidR="00F53B9B" w:rsidRPr="00F53B9B">
        <w:rPr>
          <w:rFonts w:eastAsia="SimSun"/>
          <w:lang w:eastAsia="ja-JP"/>
        </w:rPr>
        <w:t>SIB19-r17</w:t>
      </w:r>
      <w:r w:rsidR="00F53B9B" w:rsidRPr="00F53B9B">
        <w:rPr>
          <w:rFonts w:eastAsia="SimSun"/>
          <w:lang w:eastAsia="ja-JP"/>
        </w:rPr>
        <w:sym w:font="Wingdings" w:char="F0E0"/>
      </w:r>
      <w:r w:rsidR="00F53B9B">
        <w:rPr>
          <w:rFonts w:eastAsia="SimSun"/>
          <w:lang w:eastAsia="ja-JP"/>
        </w:rPr>
        <w:t xml:space="preserve"> </w:t>
      </w:r>
      <w:r w:rsidR="00F53B9B" w:rsidRPr="00F53B9B">
        <w:rPr>
          <w:rFonts w:eastAsia="SimSun"/>
          <w:lang w:eastAsia="ja-JP"/>
        </w:rPr>
        <w:t>ntn-Config-r17</w:t>
      </w:r>
      <w:r w:rsidR="00F53B9B" w:rsidRPr="00F53B9B">
        <w:rPr>
          <w:rFonts w:eastAsia="SimSun"/>
          <w:lang w:eastAsia="ja-JP"/>
        </w:rPr>
        <w:sym w:font="Wingdings" w:char="F0E0"/>
      </w:r>
      <w:r w:rsidR="00F53B9B">
        <w:rPr>
          <w:rFonts w:eastAsia="SimSun"/>
          <w:lang w:eastAsia="ja-JP"/>
        </w:rPr>
        <w:t xml:space="preserve"> </w:t>
      </w:r>
      <w:r w:rsidR="00F53B9B" w:rsidRPr="00F53B9B">
        <w:rPr>
          <w:rFonts w:eastAsia="SimSun"/>
          <w:lang w:eastAsia="ja-JP"/>
        </w:rPr>
        <w:t>ta-Info-r17</w:t>
      </w:r>
      <w:r w:rsidR="00F53B9B" w:rsidRPr="00F53B9B">
        <w:rPr>
          <w:rFonts w:eastAsia="SimSun"/>
          <w:lang w:eastAsia="ja-JP"/>
        </w:rPr>
        <w:sym w:font="Wingdings" w:char="F0E0"/>
      </w:r>
      <w:r w:rsidR="00F53B9B">
        <w:rPr>
          <w:rFonts w:eastAsia="SimSun"/>
          <w:lang w:eastAsia="ja-JP"/>
        </w:rPr>
        <w:t xml:space="preserve"> </w:t>
      </w:r>
      <w:r w:rsidR="00F53B9B" w:rsidRPr="00F53B9B">
        <w:rPr>
          <w:rFonts w:eastAsia="SimSun"/>
          <w:lang w:eastAsia="ja-JP"/>
        </w:rPr>
        <w:t>ta-Common-r17</w:t>
      </w:r>
      <w:r w:rsidR="00F53B9B">
        <w:rPr>
          <w:rFonts w:eastAsia="SimSun"/>
          <w:lang w:eastAsia="ja-JP"/>
        </w:rPr>
        <w:t xml:space="preserve">, and the new satellite common TA is configured in </w:t>
      </w:r>
      <w:r w:rsidR="00F53B9B" w:rsidRPr="00F53B9B">
        <w:rPr>
          <w:rFonts w:eastAsia="SimSun"/>
          <w:lang w:eastAsia="ja-JP"/>
        </w:rPr>
        <w:t>SIB19-r17</w:t>
      </w:r>
      <w:r w:rsidR="00F53B9B" w:rsidRPr="00F53B9B">
        <w:rPr>
          <w:rFonts w:eastAsia="SimSun"/>
          <w:lang w:eastAsia="ja-JP"/>
        </w:rPr>
        <w:sym w:font="Wingdings" w:char="F0E0"/>
      </w:r>
      <w:r w:rsidR="00F53B9B" w:rsidRPr="00F53B9B">
        <w:t xml:space="preserve"> </w:t>
      </w:r>
      <w:r w:rsidR="00F53B9B" w:rsidRPr="00F53B9B">
        <w:rPr>
          <w:rFonts w:eastAsia="SimSun"/>
          <w:lang w:eastAsia="ja-JP"/>
        </w:rPr>
        <w:t>SatSwitchWithReSync-r18</w:t>
      </w:r>
      <w:r w:rsidR="00F53B9B" w:rsidRPr="00F53B9B">
        <w:rPr>
          <w:rFonts w:eastAsia="SimSun"/>
          <w:lang w:eastAsia="ja-JP"/>
        </w:rPr>
        <w:sym w:font="Wingdings" w:char="F0E0"/>
      </w:r>
      <w:r w:rsidR="00F53B9B" w:rsidRPr="00F53B9B">
        <w:t xml:space="preserve"> </w:t>
      </w:r>
      <w:r w:rsidR="00F53B9B" w:rsidRPr="00F53B9B">
        <w:rPr>
          <w:rFonts w:eastAsia="SimSun"/>
          <w:lang w:eastAsia="ja-JP"/>
        </w:rPr>
        <w:t>ntn-Config-r18</w:t>
      </w:r>
      <w:r w:rsidR="00F53B9B" w:rsidRPr="00F53B9B">
        <w:rPr>
          <w:rFonts w:eastAsia="SimSun"/>
          <w:lang w:eastAsia="ja-JP"/>
        </w:rPr>
        <w:sym w:font="Wingdings" w:char="F0E0"/>
      </w:r>
      <w:r w:rsidR="00F53B9B">
        <w:rPr>
          <w:rFonts w:eastAsia="SimSun"/>
          <w:lang w:eastAsia="ja-JP"/>
        </w:rPr>
        <w:t xml:space="preserve"> </w:t>
      </w:r>
      <w:r w:rsidR="00F53B9B" w:rsidRPr="00F53B9B">
        <w:rPr>
          <w:rFonts w:eastAsia="SimSun"/>
          <w:lang w:eastAsia="ja-JP"/>
        </w:rPr>
        <w:t>ta-Info-r17</w:t>
      </w:r>
      <w:r w:rsidR="00F53B9B" w:rsidRPr="00F53B9B">
        <w:rPr>
          <w:rFonts w:eastAsia="SimSun"/>
          <w:lang w:eastAsia="ja-JP"/>
        </w:rPr>
        <w:sym w:font="Wingdings" w:char="F0E0"/>
      </w:r>
      <w:r w:rsidR="00F53B9B">
        <w:rPr>
          <w:rFonts w:eastAsia="SimSun"/>
          <w:lang w:eastAsia="ja-JP"/>
        </w:rPr>
        <w:t xml:space="preserve"> </w:t>
      </w:r>
      <w:r w:rsidR="00F53B9B" w:rsidRPr="00F53B9B">
        <w:rPr>
          <w:rFonts w:eastAsia="SimSun"/>
          <w:lang w:eastAsia="ja-JP"/>
        </w:rPr>
        <w:t>ta-Common-r17</w:t>
      </w:r>
      <w:r w:rsidR="00F53B9B">
        <w:rPr>
          <w:rFonts w:eastAsia="SimSun" w:hint="eastAsia"/>
        </w:rPr>
        <w:t>。</w:t>
      </w:r>
    </w:p>
    <w:p w14:paraId="5524184E" w14:textId="467EBCD3" w:rsidR="00F53B9B" w:rsidRDefault="00F53B9B" w:rsidP="002D5C49">
      <w:pPr>
        <w:jc w:val="both"/>
        <w:rPr>
          <w:rFonts w:eastAsia="SimSun"/>
          <w:lang w:eastAsia="ja-JP"/>
        </w:rPr>
      </w:pPr>
      <w:r>
        <w:rPr>
          <w:rFonts w:eastAsia="SimSun" w:hint="eastAsia"/>
        </w:rPr>
        <w:t>By</w:t>
      </w:r>
      <w:r>
        <w:rPr>
          <w:rFonts w:eastAsia="SimSun"/>
        </w:rPr>
        <w:t xml:space="preserve"> getting both </w:t>
      </w:r>
      <w:r>
        <w:rPr>
          <w:rFonts w:eastAsia="SimSun"/>
          <w:lang w:eastAsia="ja-JP"/>
        </w:rPr>
        <w:t xml:space="preserve">service-link propagation difference and feeder-link delay difference, the reference point at </w:t>
      </w:r>
      <w:proofErr w:type="spellStart"/>
      <w:r>
        <w:rPr>
          <w:rFonts w:eastAsia="SimSun"/>
          <w:lang w:eastAsia="ja-JP"/>
        </w:rPr>
        <w:t>gNB</w:t>
      </w:r>
      <w:proofErr w:type="spellEnd"/>
      <w:r>
        <w:rPr>
          <w:rFonts w:eastAsia="SimSun"/>
          <w:lang w:eastAsia="ja-JP"/>
        </w:rPr>
        <w:t xml:space="preserve"> can also work for RAN4 requirement. Thus, we propose to acknowledge RAN2 </w:t>
      </w:r>
      <w:r w:rsidR="00A65FF2" w:rsidRPr="00A65FF2">
        <w:rPr>
          <w:rFonts w:eastAsia="SimSun"/>
          <w:lang w:eastAsia="ja-JP"/>
        </w:rPr>
        <w:t xml:space="preserve">consideration </w:t>
      </w:r>
      <w:r>
        <w:rPr>
          <w:rFonts w:eastAsia="SimSun"/>
          <w:lang w:eastAsia="ja-JP"/>
        </w:rPr>
        <w:t xml:space="preserve">on </w:t>
      </w:r>
      <w:r w:rsidRPr="00F53B9B">
        <w:rPr>
          <w:rFonts w:eastAsia="SimSun"/>
          <w:lang w:eastAsia="ja-JP"/>
        </w:rPr>
        <w:t xml:space="preserve">adopting the </w:t>
      </w:r>
      <w:proofErr w:type="spellStart"/>
      <w:r w:rsidRPr="00F53B9B">
        <w:rPr>
          <w:rFonts w:eastAsia="SimSun"/>
          <w:lang w:eastAsia="ja-JP"/>
        </w:rPr>
        <w:t>gNB</w:t>
      </w:r>
      <w:proofErr w:type="spellEnd"/>
      <w:r w:rsidRPr="00F53B9B">
        <w:rPr>
          <w:rFonts w:eastAsia="SimSun"/>
          <w:lang w:eastAsia="ja-JP"/>
        </w:rPr>
        <w:t xml:space="preserve"> as the reference point of </w:t>
      </w:r>
      <w:proofErr w:type="spellStart"/>
      <w:r w:rsidRPr="00F53B9B">
        <w:rPr>
          <w:rFonts w:eastAsia="SimSun"/>
          <w:lang w:eastAsia="ja-JP"/>
        </w:rPr>
        <w:t>ssb-TimeOffset</w:t>
      </w:r>
      <w:proofErr w:type="spellEnd"/>
      <w:r>
        <w:rPr>
          <w:rFonts w:eastAsia="SimSun"/>
          <w:lang w:eastAsia="ja-JP"/>
        </w:rPr>
        <w:t xml:space="preserve">. Accordingly, RAN4 shall clarify the </w:t>
      </w:r>
      <w:r w:rsidRPr="00F53B9B">
        <w:rPr>
          <w:rFonts w:eastAsia="SimSun"/>
          <w:lang w:eastAsia="ja-JP"/>
        </w:rPr>
        <w:t>propagation delay difference</w:t>
      </w:r>
      <w:r>
        <w:rPr>
          <w:rFonts w:eastAsia="SimSun"/>
          <w:lang w:eastAsia="ja-JP"/>
        </w:rPr>
        <w:t xml:space="preserve"> in both hard and soft satellite switching requirements.</w:t>
      </w:r>
    </w:p>
    <w:p w14:paraId="1B3C64AA" w14:textId="12CFBF6C" w:rsidR="00F53B9B" w:rsidRDefault="00F53B9B" w:rsidP="00F53B9B">
      <w:pPr>
        <w:spacing w:before="0" w:beforeAutospacing="0" w:after="120"/>
        <w:jc w:val="both"/>
        <w:rPr>
          <w:b/>
          <w:bCs/>
          <w:i/>
          <w:color w:val="000000" w:themeColor="text1"/>
        </w:rPr>
      </w:pPr>
      <w:r w:rsidRPr="000A7429">
        <w:rPr>
          <w:b/>
          <w:bCs/>
          <w:i/>
          <w:color w:val="000000" w:themeColor="text1"/>
        </w:rPr>
        <w:t xml:space="preserve">Proposal </w:t>
      </w:r>
      <w:r>
        <w:rPr>
          <w:b/>
          <w:bCs/>
          <w:i/>
          <w:color w:val="000000" w:themeColor="text1"/>
        </w:rPr>
        <w:t>3</w:t>
      </w:r>
      <w:r w:rsidRPr="000A7429">
        <w:rPr>
          <w:b/>
          <w:bCs/>
          <w:i/>
          <w:color w:val="000000" w:themeColor="text1"/>
        </w:rPr>
        <w:t xml:space="preserve">: </w:t>
      </w:r>
      <w:r w:rsidR="00EC36BD">
        <w:rPr>
          <w:b/>
          <w:bCs/>
          <w:i/>
          <w:color w:val="000000" w:themeColor="text1"/>
        </w:rPr>
        <w:t xml:space="preserve">in </w:t>
      </w:r>
      <w:proofErr w:type="gramStart"/>
      <w:r w:rsidR="00EC36BD">
        <w:rPr>
          <w:b/>
          <w:bCs/>
          <w:i/>
          <w:color w:val="000000" w:themeColor="text1"/>
        </w:rPr>
        <w:t>reply</w:t>
      </w:r>
      <w:proofErr w:type="gramEnd"/>
      <w:r w:rsidR="00EC36BD">
        <w:rPr>
          <w:b/>
          <w:bCs/>
          <w:i/>
          <w:color w:val="000000" w:themeColor="text1"/>
        </w:rPr>
        <w:t xml:space="preserve"> LS, </w:t>
      </w:r>
      <w:r>
        <w:rPr>
          <w:b/>
          <w:bCs/>
          <w:i/>
          <w:color w:val="000000" w:themeColor="text1"/>
        </w:rPr>
        <w:t xml:space="preserve">RAN4 to acknowledge RAN2’s </w:t>
      </w:r>
      <w:r w:rsidR="00A65FF2">
        <w:rPr>
          <w:b/>
          <w:bCs/>
          <w:i/>
          <w:color w:val="000000" w:themeColor="text1"/>
        </w:rPr>
        <w:t xml:space="preserve">consideration </w:t>
      </w:r>
      <w:r>
        <w:rPr>
          <w:b/>
          <w:bCs/>
          <w:i/>
          <w:color w:val="000000" w:themeColor="text1"/>
        </w:rPr>
        <w:t xml:space="preserve">of </w:t>
      </w:r>
      <w:r w:rsidRPr="00F53B9B">
        <w:rPr>
          <w:b/>
          <w:bCs/>
          <w:i/>
          <w:color w:val="000000" w:themeColor="text1"/>
        </w:rPr>
        <w:t xml:space="preserve">adopting the </w:t>
      </w:r>
      <w:proofErr w:type="spellStart"/>
      <w:r w:rsidRPr="00F53B9B">
        <w:rPr>
          <w:b/>
          <w:bCs/>
          <w:i/>
          <w:color w:val="000000" w:themeColor="text1"/>
        </w:rPr>
        <w:t>gNB</w:t>
      </w:r>
      <w:proofErr w:type="spellEnd"/>
      <w:r w:rsidRPr="00F53B9B">
        <w:rPr>
          <w:b/>
          <w:bCs/>
          <w:i/>
          <w:color w:val="000000" w:themeColor="text1"/>
        </w:rPr>
        <w:t xml:space="preserve"> as the reference point of </w:t>
      </w:r>
      <w:proofErr w:type="spellStart"/>
      <w:r w:rsidRPr="00F53B9B">
        <w:rPr>
          <w:b/>
          <w:bCs/>
          <w:i/>
          <w:color w:val="000000" w:themeColor="text1"/>
        </w:rPr>
        <w:t>ssb-TimeOffset</w:t>
      </w:r>
      <w:proofErr w:type="spellEnd"/>
      <w:r>
        <w:rPr>
          <w:b/>
          <w:bCs/>
          <w:i/>
          <w:color w:val="000000" w:themeColor="text1"/>
        </w:rPr>
        <w:t>.</w:t>
      </w:r>
      <w:r w:rsidRPr="00F53B9B">
        <w:t xml:space="preserve"> </w:t>
      </w:r>
      <w:r w:rsidRPr="00F53B9B">
        <w:rPr>
          <w:b/>
          <w:bCs/>
          <w:i/>
          <w:color w:val="000000" w:themeColor="text1"/>
        </w:rPr>
        <w:t>Accordingly, RAN4 shall clarify the propagation delay difference in both hard and soft satellite switching requirements</w:t>
      </w:r>
      <w:r>
        <w:rPr>
          <w:b/>
          <w:bCs/>
          <w:i/>
          <w:color w:val="000000" w:themeColor="text1"/>
        </w:rPr>
        <w:t>.</w:t>
      </w:r>
    </w:p>
    <w:p w14:paraId="5FB9D0B3" w14:textId="44EF38CD" w:rsidR="00F53B9B" w:rsidRDefault="00EC36BD" w:rsidP="002D5C49">
      <w:pPr>
        <w:jc w:val="both"/>
        <w:rPr>
          <w:rFonts w:eastAsia="SimSun"/>
        </w:rPr>
      </w:pPr>
      <w:r>
        <w:rPr>
          <w:rFonts w:eastAsia="SimSun"/>
        </w:rPr>
        <w:t>The draft LS is provided in [</w:t>
      </w:r>
      <w:r w:rsidR="005E46F1">
        <w:rPr>
          <w:rFonts w:eastAsia="SimSun"/>
        </w:rPr>
        <w:t>3</w:t>
      </w:r>
      <w:r>
        <w:rPr>
          <w:rFonts w:eastAsia="SimSun"/>
        </w:rPr>
        <w:t xml:space="preserve">]. </w:t>
      </w:r>
    </w:p>
    <w:p w14:paraId="75A30620" w14:textId="77777777" w:rsidR="00AC006C" w:rsidRDefault="00AC006C" w:rsidP="002D5C49">
      <w:pPr>
        <w:jc w:val="both"/>
        <w:rPr>
          <w:rFonts w:eastAsia="SimSun"/>
        </w:rPr>
      </w:pPr>
    </w:p>
    <w:p w14:paraId="3F5BDC61" w14:textId="77777777" w:rsidR="00AC006C" w:rsidRDefault="00AC006C" w:rsidP="00AC006C">
      <w:pPr>
        <w:outlineLvl w:val="2"/>
        <w:rPr>
          <w:b/>
          <w:u w:val="single"/>
          <w:lang w:eastAsia="ko-KR"/>
        </w:rPr>
      </w:pPr>
      <w:r w:rsidRPr="000C27C6">
        <w:rPr>
          <w:b/>
          <w:u w:val="single"/>
          <w:lang w:eastAsia="ko-KR"/>
        </w:rPr>
        <w:t>Issue 5-2-S: Soft’ Satellite switch (5-2-S1 and -S2 from RAN4#110 are merged)</w:t>
      </w:r>
    </w:p>
    <w:tbl>
      <w:tblPr>
        <w:tblStyle w:val="TableGrid"/>
        <w:tblW w:w="0" w:type="auto"/>
        <w:tblLook w:val="04A0" w:firstRow="1" w:lastRow="0" w:firstColumn="1" w:lastColumn="0" w:noHBand="0" w:noVBand="1"/>
      </w:tblPr>
      <w:tblGrid>
        <w:gridCol w:w="9629"/>
      </w:tblGrid>
      <w:tr w:rsidR="00AC006C" w14:paraId="59E33754" w14:textId="77777777" w:rsidTr="00AC006C">
        <w:tc>
          <w:tcPr>
            <w:tcW w:w="9629" w:type="dxa"/>
          </w:tcPr>
          <w:p w14:paraId="05A2FD46" w14:textId="77777777" w:rsidR="00AC006C" w:rsidRPr="000C27C6" w:rsidRDefault="00AC006C" w:rsidP="00AC006C">
            <w:pPr>
              <w:spacing w:after="120"/>
              <w:ind w:firstLine="284"/>
              <w:rPr>
                <w:b/>
                <w:bCs/>
                <w:u w:val="single"/>
                <w:lang w:eastAsia="ja-JP"/>
              </w:rPr>
            </w:pPr>
            <w:bookmarkStart w:id="3" w:name="_Hlk164353494"/>
            <w:r w:rsidRPr="000C27C6">
              <w:rPr>
                <w:b/>
                <w:bCs/>
                <w:highlight w:val="green"/>
                <w:u w:val="single"/>
                <w:lang w:eastAsia="ja-JP"/>
              </w:rPr>
              <w:t>Agreement (online):</w:t>
            </w:r>
          </w:p>
          <w:bookmarkEnd w:id="3"/>
          <w:p w14:paraId="58DB2824" w14:textId="77777777" w:rsidR="00AC006C" w:rsidRPr="0066755F" w:rsidRDefault="00AC006C" w:rsidP="00AC006C">
            <w:pPr>
              <w:pStyle w:val="ListParagraph"/>
              <w:widowControl/>
              <w:numPr>
                <w:ilvl w:val="0"/>
                <w:numId w:val="45"/>
              </w:numPr>
              <w:spacing w:before="0" w:beforeAutospacing="0" w:after="120" w:line="240" w:lineRule="auto"/>
              <w:ind w:firstLineChars="0"/>
              <w:rPr>
                <w:lang w:eastAsia="ja-JP"/>
              </w:rPr>
            </w:pPr>
            <w:r w:rsidRPr="0066755F">
              <w:rPr>
                <w:lang w:eastAsia="ja-JP"/>
              </w:rPr>
              <w:t>Scheduling restrictions over [t-</w:t>
            </w:r>
            <w:proofErr w:type="spellStart"/>
            <w:r w:rsidRPr="0066755F">
              <w:rPr>
                <w:lang w:eastAsia="ja-JP"/>
              </w:rPr>
              <w:t>ServiceStart</w:t>
            </w:r>
            <w:proofErr w:type="spellEnd"/>
            <w:r w:rsidRPr="0066755F">
              <w:rPr>
                <w:lang w:eastAsia="ja-JP"/>
              </w:rPr>
              <w:t xml:space="preserve"> ~ t-Service] for UE incapable of parallelMeasurementWithoutRestriction-r17 and/or [</w:t>
            </w:r>
            <w:proofErr w:type="spellStart"/>
            <w:r w:rsidRPr="0066755F">
              <w:rPr>
                <w:lang w:eastAsia="ja-JP"/>
              </w:rPr>
              <w:t>differentSCS</w:t>
            </w:r>
            <w:proofErr w:type="spellEnd"/>
            <w:r w:rsidRPr="0066755F">
              <w:rPr>
                <w:lang w:eastAsia="ja-JP"/>
              </w:rPr>
              <w:t xml:space="preserve"> between SSB and data]</w:t>
            </w:r>
          </w:p>
          <w:p w14:paraId="6A9FD261" w14:textId="77777777" w:rsidR="00AC006C" w:rsidRPr="0066755F" w:rsidRDefault="00AC006C" w:rsidP="00AC006C">
            <w:pPr>
              <w:pStyle w:val="ListParagraph"/>
              <w:widowControl/>
              <w:numPr>
                <w:ilvl w:val="1"/>
                <w:numId w:val="45"/>
              </w:numPr>
              <w:spacing w:before="0" w:beforeAutospacing="0" w:after="120" w:line="240" w:lineRule="auto"/>
              <w:ind w:left="1364" w:firstLineChars="0"/>
              <w:rPr>
                <w:lang w:eastAsia="ja-JP"/>
              </w:rPr>
            </w:pPr>
            <w:r w:rsidRPr="0066755F">
              <w:rPr>
                <w:lang w:eastAsia="ja-JP"/>
              </w:rPr>
              <w:t>Define scheduling restriction during soft satellite switch from UE perspective, i.e. scheduling restriction are allowed only during SSB occasions of the target satellite (same as 9.2C.5.3)</w:t>
            </w:r>
          </w:p>
          <w:p w14:paraId="6B8D83A8" w14:textId="15D57927" w:rsidR="00AC006C" w:rsidRPr="00AC006C" w:rsidRDefault="00AC006C" w:rsidP="00AC006C">
            <w:pPr>
              <w:pStyle w:val="ListParagraph"/>
              <w:widowControl/>
              <w:numPr>
                <w:ilvl w:val="2"/>
                <w:numId w:val="45"/>
              </w:numPr>
              <w:spacing w:before="0" w:beforeAutospacing="0" w:after="120" w:line="240" w:lineRule="auto"/>
              <w:ind w:left="2084" w:firstLineChars="0"/>
              <w:rPr>
                <w:lang w:eastAsia="ja-JP"/>
              </w:rPr>
            </w:pPr>
            <w:r w:rsidRPr="0066755F">
              <w:t xml:space="preserve">For the scheduling restriction: For RSRP measurement, </w:t>
            </w:r>
            <w:r w:rsidRPr="0066755F">
              <w:rPr>
                <w:rFonts w:hint="eastAsia"/>
              </w:rPr>
              <w:t>1</w:t>
            </w:r>
            <w:r w:rsidRPr="0066755F">
              <w:t xml:space="preserve"> additional symbol before and after SSB block. For RSRQ measurement, </w:t>
            </w:r>
            <w:r w:rsidRPr="0066755F">
              <w:rPr>
                <w:rFonts w:hint="eastAsia"/>
              </w:rPr>
              <w:t>1</w:t>
            </w:r>
            <w:r w:rsidRPr="0066755F">
              <w:t xml:space="preserve"> additional symbol before and after RSSI symbols.</w:t>
            </w:r>
          </w:p>
          <w:p w14:paraId="2F00A537" w14:textId="77777777" w:rsidR="00AC006C" w:rsidRPr="000C27C6" w:rsidRDefault="00AC006C" w:rsidP="00AC006C">
            <w:pPr>
              <w:spacing w:after="120"/>
              <w:ind w:firstLine="284"/>
              <w:rPr>
                <w:b/>
                <w:bCs/>
                <w:u w:val="single"/>
                <w:lang w:eastAsia="ja-JP"/>
              </w:rPr>
            </w:pPr>
            <w:r w:rsidRPr="000C27C6">
              <w:rPr>
                <w:b/>
                <w:bCs/>
                <w:highlight w:val="green"/>
                <w:u w:val="single"/>
                <w:lang w:eastAsia="ja-JP"/>
              </w:rPr>
              <w:t>Agreement (online):</w:t>
            </w:r>
          </w:p>
          <w:p w14:paraId="46CEF916" w14:textId="77777777" w:rsidR="00AC006C" w:rsidRPr="0066755F" w:rsidRDefault="00AC006C" w:rsidP="00AC006C">
            <w:pPr>
              <w:pStyle w:val="ListParagraph"/>
              <w:widowControl/>
              <w:numPr>
                <w:ilvl w:val="0"/>
                <w:numId w:val="45"/>
              </w:numPr>
              <w:spacing w:before="0" w:beforeAutospacing="0" w:line="240" w:lineRule="auto"/>
              <w:ind w:firstLineChars="0"/>
              <w:rPr>
                <w:lang w:eastAsia="ja-JP"/>
              </w:rPr>
            </w:pPr>
            <w:r w:rsidRPr="0066755F">
              <w:rPr>
                <w:lang w:eastAsia="ja-JP"/>
              </w:rPr>
              <w:t>Optimization on measurements</w:t>
            </w:r>
          </w:p>
          <w:p w14:paraId="00D0A6B9" w14:textId="74A29DA5" w:rsidR="00AC006C" w:rsidRPr="00AC006C" w:rsidRDefault="00AC006C" w:rsidP="00AC006C">
            <w:pPr>
              <w:pStyle w:val="ListParagraph"/>
              <w:widowControl/>
              <w:numPr>
                <w:ilvl w:val="1"/>
                <w:numId w:val="45"/>
              </w:numPr>
              <w:spacing w:before="0" w:beforeAutospacing="0" w:line="240" w:lineRule="auto"/>
              <w:ind w:left="1364" w:firstLineChars="0"/>
              <w:rPr>
                <w:lang w:eastAsia="ja-JP"/>
              </w:rPr>
            </w:pPr>
            <w:r w:rsidRPr="0066755F">
              <w:rPr>
                <w:lang w:eastAsia="ja-JP"/>
              </w:rPr>
              <w:t xml:space="preserve">UE is allowed to skip measurements other cells and satellites than the target satellite and </w:t>
            </w:r>
            <w:r w:rsidRPr="0066755F">
              <w:rPr>
                <w:u w:val="single"/>
                <w:lang w:eastAsia="ja-JP"/>
              </w:rPr>
              <w:t>source satellite</w:t>
            </w:r>
            <w:r w:rsidRPr="0066755F">
              <w:rPr>
                <w:lang w:eastAsia="ja-JP"/>
              </w:rPr>
              <w:t xml:space="preserve"> from T-</w:t>
            </w:r>
            <w:proofErr w:type="spellStart"/>
            <w:r w:rsidRPr="0066755F">
              <w:rPr>
                <w:lang w:eastAsia="ja-JP"/>
              </w:rPr>
              <w:t>serviceStart</w:t>
            </w:r>
            <w:proofErr w:type="spellEnd"/>
            <w:r w:rsidRPr="0066755F">
              <w:rPr>
                <w:lang w:eastAsia="ja-JP"/>
              </w:rPr>
              <w:t xml:space="preserve"> to the satellite switch completion</w:t>
            </w:r>
            <w:r w:rsidRPr="0066755F">
              <w:rPr>
                <w:rFonts w:hint="eastAsia"/>
              </w:rPr>
              <w:t>.</w:t>
            </w:r>
          </w:p>
          <w:p w14:paraId="5F98AD1F" w14:textId="77777777" w:rsidR="00AC006C" w:rsidRPr="000C27C6" w:rsidRDefault="00AC006C" w:rsidP="00AC006C">
            <w:pPr>
              <w:spacing w:after="120"/>
              <w:ind w:firstLine="284"/>
              <w:rPr>
                <w:b/>
                <w:bCs/>
                <w:u w:val="single"/>
                <w:lang w:eastAsia="ja-JP"/>
              </w:rPr>
            </w:pPr>
            <w:r w:rsidRPr="000C27C6">
              <w:rPr>
                <w:b/>
                <w:bCs/>
                <w:highlight w:val="green"/>
                <w:u w:val="single"/>
                <w:lang w:eastAsia="ja-JP"/>
              </w:rPr>
              <w:t>Agreement (online):</w:t>
            </w:r>
          </w:p>
          <w:p w14:paraId="7F3654A7" w14:textId="77777777" w:rsidR="00AC006C" w:rsidRPr="0066755F" w:rsidRDefault="00AC006C" w:rsidP="00AC006C">
            <w:pPr>
              <w:pStyle w:val="ListParagraph"/>
              <w:widowControl/>
              <w:numPr>
                <w:ilvl w:val="0"/>
                <w:numId w:val="45"/>
              </w:numPr>
              <w:spacing w:before="0" w:beforeAutospacing="0" w:line="240" w:lineRule="auto"/>
              <w:ind w:firstLineChars="0"/>
              <w:rPr>
                <w:lang w:eastAsia="ja-JP"/>
              </w:rPr>
            </w:pPr>
            <w:r w:rsidRPr="0066755F">
              <w:rPr>
                <w:lang w:eastAsia="ja-JP"/>
              </w:rPr>
              <w:t xml:space="preserve">Impact on inter-satellite </w:t>
            </w:r>
            <w:proofErr w:type="spellStart"/>
            <w:r w:rsidRPr="0066755F">
              <w:rPr>
                <w:lang w:eastAsia="ja-JP"/>
              </w:rPr>
              <w:t>neighbour</w:t>
            </w:r>
            <w:proofErr w:type="spellEnd"/>
            <w:r w:rsidRPr="0066755F">
              <w:rPr>
                <w:lang w:eastAsia="ja-JP"/>
              </w:rPr>
              <w:t xml:space="preserve"> cell measurements</w:t>
            </w:r>
          </w:p>
          <w:p w14:paraId="1E91C946" w14:textId="00E5C33B" w:rsidR="00AC006C" w:rsidRPr="00AC006C" w:rsidRDefault="00AC006C" w:rsidP="00AC006C">
            <w:pPr>
              <w:pStyle w:val="ListParagraph"/>
              <w:widowControl/>
              <w:numPr>
                <w:ilvl w:val="1"/>
                <w:numId w:val="45"/>
              </w:numPr>
              <w:spacing w:before="0" w:beforeAutospacing="0" w:line="240" w:lineRule="auto"/>
              <w:ind w:left="1364" w:firstLineChars="0"/>
              <w:rPr>
                <w:lang w:eastAsia="ja-JP"/>
              </w:rPr>
            </w:pPr>
            <w:r w:rsidRPr="0066755F">
              <w:rPr>
                <w:rFonts w:hint="eastAsia"/>
              </w:rPr>
              <w:t>N</w:t>
            </w:r>
            <w:r w:rsidRPr="0066755F">
              <w:rPr>
                <w:lang w:eastAsia="ja-JP"/>
              </w:rPr>
              <w:t>o optimization for the scenario of ‘(both hard and soft) satellite switch with re-sync’ on inter-satellite neighbor cell measurements</w:t>
            </w:r>
          </w:p>
        </w:tc>
      </w:tr>
    </w:tbl>
    <w:p w14:paraId="6D730351" w14:textId="2F61A364" w:rsidR="00AC006C" w:rsidRDefault="00AC006C" w:rsidP="00AC006C">
      <w:pPr>
        <w:jc w:val="both"/>
        <w:rPr>
          <w:bCs/>
          <w:lang w:eastAsia="ko-KR"/>
        </w:rPr>
      </w:pPr>
      <w:r>
        <w:rPr>
          <w:bCs/>
          <w:lang w:eastAsia="ko-KR"/>
        </w:rPr>
        <w:t xml:space="preserve">How to optimize the scheduling restriction is not fully concluded yet. </w:t>
      </w:r>
      <w:r w:rsidRPr="002D5C49">
        <w:rPr>
          <w:bCs/>
          <w:lang w:eastAsia="ko-KR"/>
        </w:rPr>
        <w:t xml:space="preserve">In last meeting, some companies proposed to use PDD measurement/report to </w:t>
      </w:r>
      <w:r>
        <w:rPr>
          <w:bCs/>
          <w:lang w:eastAsia="ko-KR"/>
        </w:rPr>
        <w:t xml:space="preserve">enhance the </w:t>
      </w:r>
      <w:r w:rsidRPr="002D5C49">
        <w:rPr>
          <w:bCs/>
          <w:lang w:eastAsia="ko-KR"/>
        </w:rPr>
        <w:t>scheduling restriction</w:t>
      </w:r>
      <w:r>
        <w:rPr>
          <w:bCs/>
          <w:lang w:eastAsia="ko-KR"/>
        </w:rPr>
        <w:t xml:space="preserve"> during the soft satellite switch. However, in last meeting, RAN2 had following agreements that,</w:t>
      </w:r>
    </w:p>
    <w:tbl>
      <w:tblPr>
        <w:tblStyle w:val="TableGrid"/>
        <w:tblW w:w="0" w:type="auto"/>
        <w:tblLook w:val="04A0" w:firstRow="1" w:lastRow="0" w:firstColumn="1" w:lastColumn="0" w:noHBand="0" w:noVBand="1"/>
      </w:tblPr>
      <w:tblGrid>
        <w:gridCol w:w="9629"/>
      </w:tblGrid>
      <w:tr w:rsidR="00AC006C" w14:paraId="3DEBD6FF" w14:textId="77777777" w:rsidTr="00BE7940">
        <w:tc>
          <w:tcPr>
            <w:tcW w:w="9629" w:type="dxa"/>
          </w:tcPr>
          <w:p w14:paraId="70531935" w14:textId="77777777" w:rsidR="00AC006C" w:rsidRPr="00115B58" w:rsidRDefault="00AC006C" w:rsidP="00BE7940">
            <w:pPr>
              <w:rPr>
                <w:sz w:val="20"/>
                <w:szCs w:val="20"/>
                <w:lang w:val="en-GB" w:eastAsia="en-GB"/>
              </w:rPr>
            </w:pPr>
            <w:r>
              <w:rPr>
                <w:sz w:val="20"/>
                <w:szCs w:val="20"/>
                <w:lang w:val="en-GB" w:eastAsia="en-GB"/>
              </w:rPr>
              <w:t xml:space="preserve">3.  </w:t>
            </w:r>
            <w:r w:rsidRPr="00115B58">
              <w:rPr>
                <w:sz w:val="20"/>
                <w:szCs w:val="20"/>
                <w:lang w:val="en-GB" w:eastAsia="en-GB"/>
              </w:rPr>
              <w:t xml:space="preserve">We don’t introduce the support for configuring and reporting measurements on the target cell (from target satellite) in the soft switch case </w:t>
            </w:r>
          </w:p>
          <w:p w14:paraId="3EFAFDEA" w14:textId="77777777" w:rsidR="00AC006C" w:rsidRPr="002D5C49" w:rsidRDefault="00AC006C" w:rsidP="00BE7940">
            <w:pPr>
              <w:rPr>
                <w:sz w:val="20"/>
                <w:szCs w:val="20"/>
                <w:lang w:val="en-GB" w:eastAsia="en-GB"/>
              </w:rPr>
            </w:pPr>
            <w:r w:rsidRPr="00115B58">
              <w:rPr>
                <w:sz w:val="20"/>
                <w:szCs w:val="20"/>
                <w:lang w:val="en-GB" w:eastAsia="en-GB"/>
              </w:rPr>
              <w:t>4.</w:t>
            </w:r>
            <w:r w:rsidRPr="00115B58">
              <w:rPr>
                <w:sz w:val="20"/>
                <w:szCs w:val="20"/>
                <w:lang w:val="en-GB" w:eastAsia="en-GB"/>
              </w:rPr>
              <w:tab/>
            </w:r>
            <w:r w:rsidRPr="00115B58">
              <w:rPr>
                <w:sz w:val="20"/>
                <w:szCs w:val="20"/>
                <w:highlight w:val="yellow"/>
                <w:lang w:val="en-GB" w:eastAsia="en-GB"/>
              </w:rPr>
              <w:t>RAN2 understands that the NW is not expected to configure PDD reporting between serving and target satellites involved in the satellite switch</w:t>
            </w:r>
          </w:p>
        </w:tc>
      </w:tr>
    </w:tbl>
    <w:p w14:paraId="7C053B83" w14:textId="6F97B94D" w:rsidR="00AC006C" w:rsidRDefault="00AC006C" w:rsidP="00AC006C">
      <w:pPr>
        <w:jc w:val="both"/>
        <w:rPr>
          <w:bCs/>
          <w:lang w:eastAsia="ko-KR"/>
        </w:rPr>
      </w:pPr>
      <w:r>
        <w:rPr>
          <w:bCs/>
          <w:lang w:eastAsia="ko-KR"/>
        </w:rPr>
        <w:t xml:space="preserve">In addition, </w:t>
      </w:r>
      <w:r w:rsidRPr="00AC006C">
        <w:rPr>
          <w:bCs/>
          <w:lang w:eastAsia="ko-KR"/>
        </w:rPr>
        <w:t xml:space="preserve">when to start target satellite synchronization is up to UE implementation, even though network can </w:t>
      </w:r>
      <w:r>
        <w:rPr>
          <w:bCs/>
          <w:lang w:eastAsia="ko-KR"/>
        </w:rPr>
        <w:t xml:space="preserve">somehow </w:t>
      </w:r>
      <w:r w:rsidRPr="00AC006C">
        <w:rPr>
          <w:bCs/>
          <w:lang w:eastAsia="ko-KR"/>
        </w:rPr>
        <w:t>know the time location of received target SAT’s SSB occasion at UE, network may still need to apply scheduling restriction on all possible SSB occasions, therefore PDD reporting benefit is very limited</w:t>
      </w:r>
      <w:r>
        <w:rPr>
          <w:bCs/>
          <w:lang w:eastAsia="ko-KR"/>
        </w:rPr>
        <w:t xml:space="preserve">. So RAN4 shall not consider PDD reporting </w:t>
      </w:r>
      <w:r w:rsidRPr="002D5C49">
        <w:rPr>
          <w:bCs/>
          <w:lang w:eastAsia="ko-KR"/>
        </w:rPr>
        <w:t>between serving and target satellites involved in the satellite switch</w:t>
      </w:r>
      <w:r>
        <w:rPr>
          <w:bCs/>
          <w:lang w:eastAsia="ko-KR"/>
        </w:rPr>
        <w:t xml:space="preserve">. Regarding the scheduling restriction itself, if UE </w:t>
      </w:r>
      <w:r w:rsidRPr="002D5C49">
        <w:rPr>
          <w:bCs/>
          <w:lang w:eastAsia="ko-KR"/>
        </w:rPr>
        <w:t xml:space="preserve">is not capable of </w:t>
      </w:r>
      <w:r w:rsidRPr="002D5C49">
        <w:rPr>
          <w:bCs/>
          <w:i/>
          <w:iCs/>
          <w:lang w:eastAsia="ko-KR"/>
        </w:rPr>
        <w:t>parallelMeasurementWithoutRestriction-r17</w:t>
      </w:r>
      <w:r>
        <w:rPr>
          <w:bCs/>
          <w:lang w:eastAsia="ko-KR"/>
        </w:rPr>
        <w:t xml:space="preserve">, network can still configure hard satellite switching for simplicity, and it can always be alternative for these special cases. From UE capability perspective, our understanding is: </w:t>
      </w:r>
      <w:r w:rsidRPr="00AC006C">
        <w:rPr>
          <w:bCs/>
          <w:lang w:eastAsia="ko-KR"/>
        </w:rPr>
        <w:t>If UE indicates to support soft satellite switching without PCI change, it</w:t>
      </w:r>
      <w:r>
        <w:rPr>
          <w:bCs/>
          <w:lang w:eastAsia="ko-KR"/>
        </w:rPr>
        <w:t xml:space="preserve"> would be typical for UE also to </w:t>
      </w:r>
      <w:r w:rsidRPr="00AC006C">
        <w:rPr>
          <w:bCs/>
          <w:lang w:eastAsia="ko-KR"/>
        </w:rPr>
        <w:t xml:space="preserve">indicate to support </w:t>
      </w:r>
      <w:proofErr w:type="spellStart"/>
      <w:r w:rsidRPr="00AC006C">
        <w:rPr>
          <w:bCs/>
          <w:lang w:eastAsia="ko-KR"/>
        </w:rPr>
        <w:t>simultaneousRxDataSSB-DiffNumerology</w:t>
      </w:r>
      <w:proofErr w:type="spellEnd"/>
      <w:r w:rsidRPr="00AC006C">
        <w:rPr>
          <w:bCs/>
          <w:lang w:eastAsia="ko-KR"/>
        </w:rPr>
        <w:t xml:space="preserve"> and parallelMeasurementWithoutRestriction-r17 as well</w:t>
      </w:r>
      <w:r>
        <w:rPr>
          <w:bCs/>
          <w:lang w:eastAsia="ko-KR"/>
        </w:rPr>
        <w:t>. And in this case, then n</w:t>
      </w:r>
      <w:r w:rsidRPr="00AC006C">
        <w:rPr>
          <w:bCs/>
          <w:lang w:eastAsia="ko-KR"/>
        </w:rPr>
        <w:t xml:space="preserve">o scheduling restriction will be applied during the </w:t>
      </w:r>
      <w:proofErr w:type="gramStart"/>
      <w:r w:rsidRPr="00AC006C">
        <w:rPr>
          <w:bCs/>
          <w:lang w:eastAsia="ko-KR"/>
        </w:rPr>
        <w:t>time period</w:t>
      </w:r>
      <w:proofErr w:type="gramEnd"/>
      <w:r w:rsidRPr="00AC006C">
        <w:rPr>
          <w:bCs/>
          <w:lang w:eastAsia="ko-KR"/>
        </w:rPr>
        <w:t xml:space="preserve"> of [t-</w:t>
      </w:r>
      <w:proofErr w:type="spellStart"/>
      <w:r w:rsidRPr="00AC006C">
        <w:rPr>
          <w:bCs/>
          <w:lang w:eastAsia="ko-KR"/>
        </w:rPr>
        <w:t>serviceStart</w:t>
      </w:r>
      <w:proofErr w:type="spellEnd"/>
      <w:r w:rsidRPr="00AC006C">
        <w:rPr>
          <w:bCs/>
          <w:lang w:eastAsia="ko-KR"/>
        </w:rPr>
        <w:t>, t-Service] during the soft satellite switching</w:t>
      </w:r>
      <w:r>
        <w:rPr>
          <w:bCs/>
          <w:lang w:eastAsia="ko-KR"/>
        </w:rPr>
        <w:t>.</w:t>
      </w:r>
    </w:p>
    <w:p w14:paraId="72D976A8" w14:textId="47E0AF2C" w:rsidR="00AC006C" w:rsidRDefault="00AC006C" w:rsidP="00AC006C">
      <w:pPr>
        <w:spacing w:before="0" w:beforeAutospacing="0" w:after="120"/>
        <w:jc w:val="both"/>
        <w:rPr>
          <w:b/>
          <w:bCs/>
          <w:i/>
          <w:color w:val="000000" w:themeColor="text1"/>
        </w:rPr>
      </w:pPr>
      <w:r w:rsidRPr="000A7429">
        <w:rPr>
          <w:b/>
          <w:bCs/>
          <w:i/>
          <w:color w:val="000000" w:themeColor="text1"/>
        </w:rPr>
        <w:t xml:space="preserve">Proposal </w:t>
      </w:r>
      <w:r w:rsidR="0018174B">
        <w:rPr>
          <w:b/>
          <w:bCs/>
          <w:i/>
          <w:color w:val="000000" w:themeColor="text1"/>
        </w:rPr>
        <w:t>4</w:t>
      </w:r>
      <w:r w:rsidRPr="000A7429">
        <w:rPr>
          <w:b/>
          <w:bCs/>
          <w:i/>
          <w:color w:val="000000" w:themeColor="text1"/>
        </w:rPr>
        <w:t xml:space="preserve">: </w:t>
      </w:r>
      <w:r w:rsidRPr="003142B1">
        <w:rPr>
          <w:b/>
          <w:bCs/>
          <w:i/>
          <w:color w:val="000000" w:themeColor="text1"/>
        </w:rPr>
        <w:t>not consider PDD reporting between serving and target satellites involved in the satellite switching without PCI change</w:t>
      </w:r>
      <w:r>
        <w:rPr>
          <w:b/>
          <w:bCs/>
          <w:i/>
          <w:color w:val="000000" w:themeColor="text1"/>
        </w:rPr>
        <w:t>.</w:t>
      </w:r>
    </w:p>
    <w:p w14:paraId="78D83250" w14:textId="7784616F" w:rsidR="00C161E7" w:rsidRPr="00EC36BD" w:rsidRDefault="00C161E7" w:rsidP="00C161E7">
      <w:pPr>
        <w:spacing w:before="0" w:beforeAutospacing="0" w:after="120"/>
        <w:jc w:val="both"/>
        <w:rPr>
          <w:b/>
          <w:bCs/>
          <w:i/>
          <w:color w:val="000000" w:themeColor="text1"/>
        </w:rPr>
      </w:pPr>
      <w:r>
        <w:rPr>
          <w:b/>
          <w:bCs/>
          <w:i/>
          <w:color w:val="000000" w:themeColor="text1"/>
        </w:rPr>
        <w:t>Proposal 5: to enhance scheduling restriction in soft satellite switching, consider modify</w:t>
      </w:r>
      <w:r w:rsidR="004C0FE7">
        <w:rPr>
          <w:b/>
          <w:bCs/>
          <w:i/>
          <w:color w:val="000000" w:themeColor="text1"/>
        </w:rPr>
        <w:t>ing</w:t>
      </w:r>
      <w:r>
        <w:rPr>
          <w:b/>
          <w:bCs/>
          <w:i/>
          <w:color w:val="000000" w:themeColor="text1"/>
        </w:rPr>
        <w:t xml:space="preserve"> the capability rule such that: if </w:t>
      </w:r>
      <w:r w:rsidRPr="00AC006C">
        <w:rPr>
          <w:b/>
          <w:bCs/>
          <w:i/>
          <w:color w:val="000000" w:themeColor="text1"/>
        </w:rPr>
        <w:t xml:space="preserve">UE indicates to support soft satellite switching without PCI change, it </w:t>
      </w:r>
      <w:r w:rsidRPr="00AC006C">
        <w:rPr>
          <w:b/>
          <w:bCs/>
          <w:i/>
          <w:color w:val="000000" w:themeColor="text1"/>
        </w:rPr>
        <w:lastRenderedPageBreak/>
        <w:t xml:space="preserve">also </w:t>
      </w:r>
      <w:r>
        <w:rPr>
          <w:b/>
          <w:bCs/>
          <w:i/>
          <w:color w:val="000000" w:themeColor="text1"/>
        </w:rPr>
        <w:t>means</w:t>
      </w:r>
      <w:r w:rsidRPr="00AC006C">
        <w:rPr>
          <w:b/>
          <w:bCs/>
          <w:i/>
          <w:color w:val="000000" w:themeColor="text1"/>
        </w:rPr>
        <w:t xml:space="preserve"> UE support</w:t>
      </w:r>
      <w:r>
        <w:rPr>
          <w:b/>
          <w:bCs/>
          <w:i/>
          <w:color w:val="000000" w:themeColor="text1"/>
        </w:rPr>
        <w:t>s</w:t>
      </w:r>
      <w:r w:rsidRPr="00AC006C">
        <w:rPr>
          <w:b/>
          <w:bCs/>
          <w:i/>
          <w:color w:val="000000" w:themeColor="text1"/>
        </w:rPr>
        <w:t xml:space="preserve"> </w:t>
      </w:r>
      <w:r>
        <w:rPr>
          <w:b/>
          <w:bCs/>
          <w:i/>
          <w:color w:val="000000" w:themeColor="text1"/>
        </w:rPr>
        <w:t xml:space="preserve">both </w:t>
      </w:r>
      <w:proofErr w:type="spellStart"/>
      <w:r w:rsidRPr="00AC006C">
        <w:rPr>
          <w:b/>
          <w:bCs/>
          <w:i/>
          <w:color w:val="000000" w:themeColor="text1"/>
        </w:rPr>
        <w:t>simultaneousRxDataSSB-DiffNumerology</w:t>
      </w:r>
      <w:proofErr w:type="spellEnd"/>
      <w:r w:rsidRPr="00AC006C">
        <w:rPr>
          <w:b/>
          <w:bCs/>
          <w:i/>
          <w:color w:val="000000" w:themeColor="text1"/>
        </w:rPr>
        <w:t xml:space="preserve"> and parallelMeasurementWithoutRestriction-r17</w:t>
      </w:r>
      <w:r>
        <w:rPr>
          <w:b/>
          <w:bCs/>
          <w:i/>
          <w:color w:val="000000" w:themeColor="text1"/>
        </w:rPr>
        <w:t>.</w:t>
      </w:r>
    </w:p>
    <w:p w14:paraId="415A2556" w14:textId="77777777" w:rsidR="00A74337"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7CE25101" w14:textId="77777777" w:rsidR="00EC36BD" w:rsidRDefault="00EC36BD" w:rsidP="00EC36BD">
      <w:pPr>
        <w:spacing w:after="120"/>
        <w:jc w:val="both"/>
      </w:pPr>
      <w:r>
        <w:t xml:space="preserve">In this contribution we continue the discussion about the enhancement on </w:t>
      </w:r>
      <w:r w:rsidRPr="00ED08A2">
        <w:t xml:space="preserve">mobility and service continuity </w:t>
      </w:r>
      <w:r>
        <w:t xml:space="preserve">for the </w:t>
      </w:r>
      <w:proofErr w:type="spellStart"/>
      <w:r>
        <w:t>eNTN</w:t>
      </w:r>
      <w:proofErr w:type="spellEnd"/>
      <w:r>
        <w:t xml:space="preserve"> UE.</w:t>
      </w:r>
    </w:p>
    <w:p w14:paraId="3826F334" w14:textId="77777777" w:rsidR="00EC36BD" w:rsidRDefault="00EC36BD" w:rsidP="00EC36BD">
      <w:pPr>
        <w:jc w:val="both"/>
        <w:rPr>
          <w:b/>
          <w:bCs/>
          <w:i/>
          <w:iCs/>
        </w:rPr>
      </w:pPr>
      <w:r w:rsidRPr="00B3480A">
        <w:rPr>
          <w:b/>
          <w:bCs/>
          <w:i/>
          <w:iCs/>
        </w:rPr>
        <w:t>Proposal 1:</w:t>
      </w:r>
      <w:r>
        <w:rPr>
          <w:b/>
          <w:bCs/>
          <w:i/>
          <w:iCs/>
        </w:rPr>
        <w:t xml:space="preserve"> </w:t>
      </w:r>
      <w:r w:rsidRPr="00015372">
        <w:rPr>
          <w:b/>
          <w:bCs/>
          <w:i/>
          <w:iCs/>
        </w:rPr>
        <w:t xml:space="preserve">If both TN and NTN carriers are broadcasted to NTN capable UE for </w:t>
      </w:r>
      <w:proofErr w:type="spellStart"/>
      <w:r w:rsidRPr="00015372">
        <w:rPr>
          <w:b/>
          <w:bCs/>
          <w:i/>
          <w:iCs/>
        </w:rPr>
        <w:t>neighbour</w:t>
      </w:r>
      <w:proofErr w:type="spellEnd"/>
      <w:r w:rsidRPr="00015372">
        <w:rPr>
          <w:b/>
          <w:bCs/>
          <w:i/>
          <w:iCs/>
        </w:rPr>
        <w:t xml:space="preserve"> cells measurement in IDLE/Inactive mode</w:t>
      </w:r>
      <w:r>
        <w:rPr>
          <w:b/>
          <w:bCs/>
          <w:i/>
          <w:iCs/>
        </w:rPr>
        <w:t>, we propose following alternatives:</w:t>
      </w:r>
    </w:p>
    <w:p w14:paraId="494CDE04" w14:textId="77777777" w:rsidR="00EC36BD" w:rsidRPr="00015372" w:rsidRDefault="00EC36BD" w:rsidP="00EC36BD">
      <w:pPr>
        <w:pStyle w:val="ListParagraph"/>
        <w:numPr>
          <w:ilvl w:val="0"/>
          <w:numId w:val="62"/>
        </w:numPr>
        <w:spacing w:before="0" w:beforeAutospacing="0" w:line="240" w:lineRule="auto"/>
        <w:ind w:firstLineChars="0"/>
        <w:jc w:val="both"/>
        <w:rPr>
          <w:b/>
          <w:bCs/>
          <w:i/>
          <w:iCs/>
          <w:sz w:val="24"/>
          <w:szCs w:val="24"/>
        </w:rPr>
      </w:pPr>
      <w:r w:rsidRPr="00015372">
        <w:rPr>
          <w:b/>
          <w:bCs/>
          <w:i/>
          <w:iCs/>
          <w:sz w:val="24"/>
          <w:szCs w:val="24"/>
        </w:rPr>
        <w:t>Alt1: Cell reselection delay requirement is defined such that the UE may measure both TN and NTN cells/carriers.</w:t>
      </w:r>
    </w:p>
    <w:p w14:paraId="24EE2E46" w14:textId="77777777" w:rsidR="00EC36BD" w:rsidRDefault="00EC36BD" w:rsidP="00EC36BD">
      <w:pPr>
        <w:pStyle w:val="ListParagraph"/>
        <w:numPr>
          <w:ilvl w:val="0"/>
          <w:numId w:val="62"/>
        </w:numPr>
        <w:spacing w:before="0" w:beforeAutospacing="0" w:line="240" w:lineRule="auto"/>
        <w:ind w:firstLineChars="0"/>
        <w:jc w:val="both"/>
        <w:rPr>
          <w:b/>
          <w:bCs/>
          <w:i/>
          <w:iCs/>
          <w:sz w:val="24"/>
          <w:szCs w:val="24"/>
        </w:rPr>
      </w:pPr>
      <w:r w:rsidRPr="00015372">
        <w:rPr>
          <w:b/>
          <w:bCs/>
          <w:i/>
          <w:iCs/>
          <w:sz w:val="24"/>
          <w:szCs w:val="24"/>
        </w:rPr>
        <w:t xml:space="preserve">Alt2: </w:t>
      </w:r>
      <w:r>
        <w:rPr>
          <w:b/>
          <w:bCs/>
          <w:i/>
          <w:iCs/>
          <w:sz w:val="24"/>
          <w:szCs w:val="24"/>
        </w:rPr>
        <w:t>I</w:t>
      </w:r>
      <w:r w:rsidRPr="00015372">
        <w:rPr>
          <w:b/>
          <w:bCs/>
          <w:i/>
          <w:iCs/>
          <w:sz w:val="24"/>
          <w:szCs w:val="24"/>
        </w:rPr>
        <w:t>f UE GNSS has been switched ON, cell reselection delay requirement is defined such that the UE may measure both TN and NTN cells/carriers</w:t>
      </w:r>
      <w:r>
        <w:rPr>
          <w:b/>
          <w:bCs/>
          <w:i/>
          <w:iCs/>
          <w:sz w:val="24"/>
          <w:szCs w:val="24"/>
        </w:rPr>
        <w:t>; otherwise, c</w:t>
      </w:r>
      <w:r w:rsidRPr="00015372">
        <w:rPr>
          <w:b/>
          <w:bCs/>
          <w:i/>
          <w:iCs/>
          <w:sz w:val="24"/>
          <w:szCs w:val="24"/>
        </w:rPr>
        <w:t>ell reselection delay requirement is defined such that TN inter-frequency cell measurement is not extended.</w:t>
      </w:r>
    </w:p>
    <w:p w14:paraId="288AD388" w14:textId="77777777" w:rsidR="00EC36BD" w:rsidRPr="004065CD" w:rsidRDefault="00EC36BD" w:rsidP="00EC36BD">
      <w:pPr>
        <w:jc w:val="both"/>
        <w:rPr>
          <w:b/>
          <w:bCs/>
          <w:i/>
          <w:color w:val="000000" w:themeColor="text1"/>
        </w:rPr>
      </w:pPr>
      <w:r w:rsidRPr="004065CD">
        <w:rPr>
          <w:b/>
          <w:bCs/>
          <w:i/>
          <w:color w:val="000000" w:themeColor="text1"/>
        </w:rPr>
        <w:t>Observation: Since the first fix of GNSS will take very long time during the cell reselection procedure, it’s not necessary to always consider UE turns on the GNSS only when the neighbor NTN measurement is triggered.</w:t>
      </w:r>
    </w:p>
    <w:p w14:paraId="6BA4F519" w14:textId="77777777" w:rsidR="00EC36BD" w:rsidRDefault="00EC36BD" w:rsidP="00EC36BD">
      <w:pPr>
        <w:spacing w:before="0" w:beforeAutospacing="0" w:after="120"/>
        <w:jc w:val="both"/>
        <w:rPr>
          <w:b/>
          <w:bCs/>
          <w:i/>
          <w:color w:val="000000" w:themeColor="text1"/>
        </w:rPr>
      </w:pPr>
      <w:r w:rsidRPr="000A7429">
        <w:rPr>
          <w:b/>
          <w:bCs/>
          <w:i/>
          <w:color w:val="000000" w:themeColor="text1"/>
        </w:rPr>
        <w:t xml:space="preserve">Proposal </w:t>
      </w:r>
      <w:r>
        <w:rPr>
          <w:b/>
          <w:bCs/>
          <w:i/>
          <w:color w:val="000000" w:themeColor="text1"/>
        </w:rPr>
        <w:t>2</w:t>
      </w:r>
      <w:r w:rsidRPr="000A7429">
        <w:rPr>
          <w:b/>
          <w:bCs/>
          <w:i/>
          <w:color w:val="000000" w:themeColor="text1"/>
        </w:rPr>
        <w:t xml:space="preserve">: </w:t>
      </w:r>
      <w:r w:rsidRPr="007B5B1A">
        <w:rPr>
          <w:b/>
          <w:bCs/>
          <w:i/>
          <w:color w:val="000000" w:themeColor="text1"/>
        </w:rPr>
        <w:t>if UE is configured by network to have at least one high priority carrier which contains NTN cells, UE shall keep GNSS ON during such high priority frequency layer measurement even the UE is in TN coverage</w:t>
      </w:r>
      <w:r>
        <w:rPr>
          <w:b/>
          <w:bCs/>
          <w:i/>
          <w:color w:val="000000" w:themeColor="text1"/>
        </w:rPr>
        <w:t>.</w:t>
      </w:r>
    </w:p>
    <w:p w14:paraId="106B9926" w14:textId="46D270CB" w:rsidR="00EC36BD" w:rsidRDefault="00EC36BD" w:rsidP="00EC36BD">
      <w:pPr>
        <w:spacing w:before="0" w:beforeAutospacing="0" w:after="120"/>
        <w:jc w:val="both"/>
        <w:rPr>
          <w:b/>
          <w:bCs/>
          <w:i/>
          <w:color w:val="000000" w:themeColor="text1"/>
        </w:rPr>
      </w:pPr>
      <w:r w:rsidRPr="000A7429">
        <w:rPr>
          <w:b/>
          <w:bCs/>
          <w:i/>
          <w:color w:val="000000" w:themeColor="text1"/>
        </w:rPr>
        <w:t xml:space="preserve">Proposal </w:t>
      </w:r>
      <w:r>
        <w:rPr>
          <w:b/>
          <w:bCs/>
          <w:i/>
          <w:color w:val="000000" w:themeColor="text1"/>
        </w:rPr>
        <w:t>3</w:t>
      </w:r>
      <w:r w:rsidRPr="000A7429">
        <w:rPr>
          <w:b/>
          <w:bCs/>
          <w:i/>
          <w:color w:val="000000" w:themeColor="text1"/>
        </w:rPr>
        <w:t xml:space="preserve">: </w:t>
      </w:r>
      <w:r>
        <w:rPr>
          <w:b/>
          <w:bCs/>
          <w:i/>
          <w:color w:val="000000" w:themeColor="text1"/>
        </w:rPr>
        <w:t xml:space="preserve">in </w:t>
      </w:r>
      <w:proofErr w:type="gramStart"/>
      <w:r>
        <w:rPr>
          <w:b/>
          <w:bCs/>
          <w:i/>
          <w:color w:val="000000" w:themeColor="text1"/>
        </w:rPr>
        <w:t>reply</w:t>
      </w:r>
      <w:proofErr w:type="gramEnd"/>
      <w:r>
        <w:rPr>
          <w:b/>
          <w:bCs/>
          <w:i/>
          <w:color w:val="000000" w:themeColor="text1"/>
        </w:rPr>
        <w:t xml:space="preserve"> LS, RAN4 to acknowledge RAN2’s </w:t>
      </w:r>
      <w:r w:rsidR="00A65FF2">
        <w:rPr>
          <w:b/>
          <w:bCs/>
          <w:i/>
          <w:color w:val="000000" w:themeColor="text1"/>
        </w:rPr>
        <w:t>consideration</w:t>
      </w:r>
      <w:r>
        <w:rPr>
          <w:b/>
          <w:bCs/>
          <w:i/>
          <w:color w:val="000000" w:themeColor="text1"/>
        </w:rPr>
        <w:t xml:space="preserve"> of </w:t>
      </w:r>
      <w:r w:rsidRPr="00F53B9B">
        <w:rPr>
          <w:b/>
          <w:bCs/>
          <w:i/>
          <w:color w:val="000000" w:themeColor="text1"/>
        </w:rPr>
        <w:t xml:space="preserve">adopting the </w:t>
      </w:r>
      <w:proofErr w:type="spellStart"/>
      <w:r w:rsidRPr="00F53B9B">
        <w:rPr>
          <w:b/>
          <w:bCs/>
          <w:i/>
          <w:color w:val="000000" w:themeColor="text1"/>
        </w:rPr>
        <w:t>gNB</w:t>
      </w:r>
      <w:proofErr w:type="spellEnd"/>
      <w:r w:rsidRPr="00F53B9B">
        <w:rPr>
          <w:b/>
          <w:bCs/>
          <w:i/>
          <w:color w:val="000000" w:themeColor="text1"/>
        </w:rPr>
        <w:t xml:space="preserve"> as the reference point of </w:t>
      </w:r>
      <w:proofErr w:type="spellStart"/>
      <w:r w:rsidRPr="00F53B9B">
        <w:rPr>
          <w:b/>
          <w:bCs/>
          <w:i/>
          <w:color w:val="000000" w:themeColor="text1"/>
        </w:rPr>
        <w:t>ssb-TimeOffset</w:t>
      </w:r>
      <w:proofErr w:type="spellEnd"/>
      <w:r>
        <w:rPr>
          <w:b/>
          <w:bCs/>
          <w:i/>
          <w:color w:val="000000" w:themeColor="text1"/>
        </w:rPr>
        <w:t>.</w:t>
      </w:r>
      <w:r w:rsidRPr="00F53B9B">
        <w:t xml:space="preserve"> </w:t>
      </w:r>
      <w:r w:rsidRPr="00F53B9B">
        <w:rPr>
          <w:b/>
          <w:bCs/>
          <w:i/>
          <w:color w:val="000000" w:themeColor="text1"/>
        </w:rPr>
        <w:t>Accordingly, RAN4 shall clarify the propagation delay difference in both hard and soft satellite switching requirements</w:t>
      </w:r>
      <w:r>
        <w:rPr>
          <w:b/>
          <w:bCs/>
          <w:i/>
          <w:color w:val="000000" w:themeColor="text1"/>
        </w:rPr>
        <w:t>.</w:t>
      </w:r>
    </w:p>
    <w:p w14:paraId="440A444B" w14:textId="77777777" w:rsidR="0018174B" w:rsidRDefault="0018174B" w:rsidP="0018174B">
      <w:pPr>
        <w:spacing w:before="0" w:beforeAutospacing="0" w:after="120"/>
        <w:jc w:val="both"/>
        <w:rPr>
          <w:b/>
          <w:bCs/>
          <w:i/>
          <w:color w:val="000000" w:themeColor="text1"/>
        </w:rPr>
      </w:pPr>
      <w:r w:rsidRPr="000A7429">
        <w:rPr>
          <w:b/>
          <w:bCs/>
          <w:i/>
          <w:color w:val="000000" w:themeColor="text1"/>
        </w:rPr>
        <w:t xml:space="preserve">Proposal </w:t>
      </w:r>
      <w:r>
        <w:rPr>
          <w:b/>
          <w:bCs/>
          <w:i/>
          <w:color w:val="000000" w:themeColor="text1"/>
        </w:rPr>
        <w:t>4</w:t>
      </w:r>
      <w:r w:rsidRPr="000A7429">
        <w:rPr>
          <w:b/>
          <w:bCs/>
          <w:i/>
          <w:color w:val="000000" w:themeColor="text1"/>
        </w:rPr>
        <w:t xml:space="preserve">: </w:t>
      </w:r>
      <w:r w:rsidRPr="003142B1">
        <w:rPr>
          <w:b/>
          <w:bCs/>
          <w:i/>
          <w:color w:val="000000" w:themeColor="text1"/>
        </w:rPr>
        <w:t>not consider PDD reporting between serving and target satellites involved in the satellite switching without PCI change</w:t>
      </w:r>
      <w:r>
        <w:rPr>
          <w:b/>
          <w:bCs/>
          <w:i/>
          <w:color w:val="000000" w:themeColor="text1"/>
        </w:rPr>
        <w:t>.</w:t>
      </w:r>
    </w:p>
    <w:p w14:paraId="3210A803" w14:textId="79F409EE" w:rsidR="0018174B" w:rsidRPr="00EC36BD" w:rsidRDefault="0018174B" w:rsidP="00EC36BD">
      <w:pPr>
        <w:spacing w:before="0" w:beforeAutospacing="0" w:after="120"/>
        <w:jc w:val="both"/>
        <w:rPr>
          <w:b/>
          <w:bCs/>
          <w:i/>
          <w:color w:val="000000" w:themeColor="text1"/>
        </w:rPr>
      </w:pPr>
      <w:r>
        <w:rPr>
          <w:b/>
          <w:bCs/>
          <w:i/>
          <w:color w:val="000000" w:themeColor="text1"/>
        </w:rPr>
        <w:t>Proposal 5: to enhance scheduling restriction in soft satellite switching, consider modify</w:t>
      </w:r>
      <w:r w:rsidR="004C0FE7">
        <w:rPr>
          <w:b/>
          <w:bCs/>
          <w:i/>
          <w:color w:val="000000" w:themeColor="text1"/>
        </w:rPr>
        <w:t>ing</w:t>
      </w:r>
      <w:r>
        <w:rPr>
          <w:b/>
          <w:bCs/>
          <w:i/>
          <w:color w:val="000000" w:themeColor="text1"/>
        </w:rPr>
        <w:t xml:space="preserve"> the capability rule such that: </w:t>
      </w:r>
      <w:r w:rsidR="00C161E7">
        <w:rPr>
          <w:b/>
          <w:bCs/>
          <w:i/>
          <w:color w:val="000000" w:themeColor="text1"/>
        </w:rPr>
        <w:t xml:space="preserve">if </w:t>
      </w:r>
      <w:r w:rsidRPr="00AC006C">
        <w:rPr>
          <w:b/>
          <w:bCs/>
          <w:i/>
          <w:color w:val="000000" w:themeColor="text1"/>
        </w:rPr>
        <w:t xml:space="preserve">UE indicates to support soft satellite switching without PCI change, it </w:t>
      </w:r>
      <w:r w:rsidR="00C161E7" w:rsidRPr="00AC006C">
        <w:rPr>
          <w:b/>
          <w:bCs/>
          <w:i/>
          <w:color w:val="000000" w:themeColor="text1"/>
        </w:rPr>
        <w:t xml:space="preserve">also </w:t>
      </w:r>
      <w:r w:rsidR="00C161E7">
        <w:rPr>
          <w:b/>
          <w:bCs/>
          <w:i/>
          <w:color w:val="000000" w:themeColor="text1"/>
        </w:rPr>
        <w:t>means</w:t>
      </w:r>
      <w:r w:rsidRPr="00AC006C">
        <w:rPr>
          <w:b/>
          <w:bCs/>
          <w:i/>
          <w:color w:val="000000" w:themeColor="text1"/>
        </w:rPr>
        <w:t xml:space="preserve"> UE support</w:t>
      </w:r>
      <w:r w:rsidR="00C161E7">
        <w:rPr>
          <w:b/>
          <w:bCs/>
          <w:i/>
          <w:color w:val="000000" w:themeColor="text1"/>
        </w:rPr>
        <w:t>s</w:t>
      </w:r>
      <w:r w:rsidRPr="00AC006C">
        <w:rPr>
          <w:b/>
          <w:bCs/>
          <w:i/>
          <w:color w:val="000000" w:themeColor="text1"/>
        </w:rPr>
        <w:t xml:space="preserve"> </w:t>
      </w:r>
      <w:r w:rsidR="00C161E7">
        <w:rPr>
          <w:b/>
          <w:bCs/>
          <w:i/>
          <w:color w:val="000000" w:themeColor="text1"/>
        </w:rPr>
        <w:t xml:space="preserve">both </w:t>
      </w:r>
      <w:proofErr w:type="spellStart"/>
      <w:r w:rsidRPr="00AC006C">
        <w:rPr>
          <w:b/>
          <w:bCs/>
          <w:i/>
          <w:color w:val="000000" w:themeColor="text1"/>
        </w:rPr>
        <w:t>simultaneousRxDataSSB-DiffNumerology</w:t>
      </w:r>
      <w:proofErr w:type="spellEnd"/>
      <w:r w:rsidRPr="00AC006C">
        <w:rPr>
          <w:b/>
          <w:bCs/>
          <w:i/>
          <w:color w:val="000000" w:themeColor="text1"/>
        </w:rPr>
        <w:t xml:space="preserve"> and parallelMeasurementWithoutRestriction-r17</w:t>
      </w:r>
      <w:r>
        <w:rPr>
          <w:b/>
          <w:bCs/>
          <w:i/>
          <w:color w:val="000000" w:themeColor="text1"/>
        </w:rPr>
        <w:t>.</w:t>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271CAAA4" w14:textId="0FF8BCE6" w:rsidR="00D85241" w:rsidRDefault="00D85241" w:rsidP="00D85241">
      <w:r>
        <w:t xml:space="preserve">[1] </w:t>
      </w:r>
      <w:r w:rsidR="005A6D17" w:rsidRPr="000C27C6">
        <w:rPr>
          <w:rFonts w:cs="Arial"/>
          <w:noProof/>
        </w:rPr>
        <w:t>R4-2406430</w:t>
      </w:r>
      <w:r>
        <w:rPr>
          <w:rFonts w:cs="Arial"/>
        </w:rPr>
        <w:t xml:space="preserve">, </w:t>
      </w:r>
      <w:r w:rsidR="005A6D17" w:rsidRPr="005A6D17">
        <w:rPr>
          <w:rFonts w:cs="Arial"/>
        </w:rPr>
        <w:t xml:space="preserve">WF on RRM requirements for </w:t>
      </w:r>
      <w:proofErr w:type="spellStart"/>
      <w:r w:rsidR="005A6D17" w:rsidRPr="005A6D17">
        <w:rPr>
          <w:rFonts w:cs="Arial"/>
        </w:rPr>
        <w:t>NR_NTN_enh</w:t>
      </w:r>
      <w:proofErr w:type="spellEnd"/>
      <w:r w:rsidRPr="003302A0">
        <w:t xml:space="preserve">, </w:t>
      </w:r>
      <w:r w:rsidRPr="001F65D9">
        <w:t>Qualcomm</w:t>
      </w:r>
      <w:r w:rsidRPr="003302A0">
        <w:t>, RAN</w:t>
      </w:r>
      <w:r>
        <w:t>4 #110</w:t>
      </w:r>
      <w:r w:rsidR="005A6D17">
        <w:t>bis</w:t>
      </w:r>
    </w:p>
    <w:p w14:paraId="51630072" w14:textId="2E1A3893" w:rsidR="005A6D17" w:rsidRDefault="005A6D17" w:rsidP="00D85241">
      <w:r>
        <w:t xml:space="preserve">[2] </w:t>
      </w:r>
      <w:r w:rsidRPr="005A6D17">
        <w:t>R4-2407009</w:t>
      </w:r>
      <w:r>
        <w:t xml:space="preserve">, </w:t>
      </w:r>
      <w:r w:rsidRPr="005A6D17">
        <w:t>LS on reference point for SSB-</w:t>
      </w:r>
      <w:proofErr w:type="spellStart"/>
      <w:r w:rsidRPr="005A6D17">
        <w:t>TimeOffset</w:t>
      </w:r>
      <w:proofErr w:type="spellEnd"/>
      <w:r>
        <w:t>, Apple, RAN2 #125bis</w:t>
      </w:r>
    </w:p>
    <w:p w14:paraId="523FAF96" w14:textId="44B2E89A" w:rsidR="005E46F1" w:rsidRDefault="005E46F1" w:rsidP="005E46F1">
      <w:r>
        <w:t xml:space="preserve">[3] </w:t>
      </w:r>
      <w:r w:rsidR="004C0FE7" w:rsidRPr="004C0FE7">
        <w:t>R4-2407307</w:t>
      </w:r>
      <w:r>
        <w:t xml:space="preserve">, Reply </w:t>
      </w:r>
      <w:r w:rsidRPr="005A6D17">
        <w:t>LS on reference point for SSB-</w:t>
      </w:r>
      <w:proofErr w:type="spellStart"/>
      <w:r w:rsidRPr="005A6D17">
        <w:t>TimeOffset</w:t>
      </w:r>
      <w:proofErr w:type="spellEnd"/>
      <w:r>
        <w:t>, Apple, RAN4 #111</w:t>
      </w:r>
    </w:p>
    <w:p w14:paraId="587316D4" w14:textId="77777777" w:rsidR="005E46F1" w:rsidRDefault="005E46F1" w:rsidP="00D85241"/>
    <w:p w14:paraId="0C91915A" w14:textId="05F775F3" w:rsidR="00110BFA" w:rsidRPr="005A1E0E" w:rsidRDefault="00110BFA" w:rsidP="00A74337"/>
    <w:sectPr w:rsidR="00110BFA" w:rsidRPr="005A1E0E" w:rsidSect="00F52003">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FF8C5" w14:textId="77777777" w:rsidR="00444CCA" w:rsidRDefault="00444CCA">
      <w:r>
        <w:separator/>
      </w:r>
    </w:p>
  </w:endnote>
  <w:endnote w:type="continuationSeparator" w:id="0">
    <w:p w14:paraId="03A90A25" w14:textId="77777777" w:rsidR="00444CCA" w:rsidRDefault="00444CCA">
      <w:r>
        <w:continuationSeparator/>
      </w:r>
    </w:p>
  </w:endnote>
  <w:endnote w:type="continuationNotice" w:id="1">
    <w:p w14:paraId="46EEB6C0" w14:textId="77777777" w:rsidR="00444CCA" w:rsidRDefault="00444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57817" w14:textId="77777777" w:rsidR="00444CCA" w:rsidRDefault="00444CCA">
      <w:r>
        <w:separator/>
      </w:r>
    </w:p>
  </w:footnote>
  <w:footnote w:type="continuationSeparator" w:id="0">
    <w:p w14:paraId="727DA86F" w14:textId="77777777" w:rsidR="00444CCA" w:rsidRDefault="00444CCA">
      <w:r>
        <w:continuationSeparator/>
      </w:r>
    </w:p>
  </w:footnote>
  <w:footnote w:type="continuationNotice" w:id="1">
    <w:p w14:paraId="591E1731" w14:textId="77777777" w:rsidR="00444CCA" w:rsidRDefault="00444C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6.5pt;height:37.5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C63D9"/>
    <w:multiLevelType w:val="hybridMultilevel"/>
    <w:tmpl w:val="14D2F90A"/>
    <w:lvl w:ilvl="0" w:tplc="04090001">
      <w:start w:val="1"/>
      <w:numFmt w:val="bullet"/>
      <w:lvlText w:val=""/>
      <w:lvlJc w:val="left"/>
      <w:pPr>
        <w:ind w:left="720" w:hanging="360"/>
      </w:pPr>
      <w:rPr>
        <w:rFonts w:ascii="Symbol" w:hAnsi="Symbol" w:hint="default"/>
      </w:rPr>
    </w:lvl>
    <w:lvl w:ilvl="1" w:tplc="79E24D1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73DD1"/>
    <w:multiLevelType w:val="hybridMultilevel"/>
    <w:tmpl w:val="83EC5D16"/>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6" w15:restartNumberingAfterBreak="0">
    <w:nsid w:val="3B5C7936"/>
    <w:multiLevelType w:val="hybridMultilevel"/>
    <w:tmpl w:val="BC3E2CA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B98330F"/>
    <w:multiLevelType w:val="hybridMultilevel"/>
    <w:tmpl w:val="BC3E2CA4"/>
    <w:lvl w:ilvl="0" w:tplc="E8D6EB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538CBC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8" w15:restartNumberingAfterBreak="0">
    <w:nsid w:val="72685F3F"/>
    <w:multiLevelType w:val="hybridMultilevel"/>
    <w:tmpl w:val="6CCAD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083B92"/>
    <w:multiLevelType w:val="hybridMultilevel"/>
    <w:tmpl w:val="115A027E"/>
    <w:lvl w:ilvl="0" w:tplc="50ECC9F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844C27"/>
    <w:multiLevelType w:val="hybridMultilevel"/>
    <w:tmpl w:val="54CC8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5"/>
  </w:num>
  <w:num w:numId="5" w16cid:durableId="199491767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0"/>
  </w:num>
  <w:num w:numId="8" w16cid:durableId="66853061">
    <w:abstractNumId w:val="5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9"/>
  </w:num>
  <w:num w:numId="11" w16cid:durableId="658192778">
    <w:abstractNumId w:val="47"/>
  </w:num>
  <w:num w:numId="12" w16cid:durableId="1683971953">
    <w:abstractNumId w:val="33"/>
  </w:num>
  <w:num w:numId="13" w16cid:durableId="1802336773">
    <w:abstractNumId w:val="49"/>
  </w:num>
  <w:num w:numId="14" w16cid:durableId="183179212">
    <w:abstractNumId w:val="15"/>
  </w:num>
  <w:num w:numId="15" w16cid:durableId="101072845">
    <w:abstractNumId w:val="3"/>
  </w:num>
  <w:num w:numId="16" w16cid:durableId="1671985423">
    <w:abstractNumId w:val="56"/>
  </w:num>
  <w:num w:numId="17" w16cid:durableId="527718403">
    <w:abstractNumId w:val="12"/>
  </w:num>
  <w:num w:numId="18" w16cid:durableId="336426665">
    <w:abstractNumId w:val="39"/>
  </w:num>
  <w:num w:numId="19" w16cid:durableId="314071016">
    <w:abstractNumId w:val="7"/>
  </w:num>
  <w:num w:numId="20" w16cid:durableId="254241833">
    <w:abstractNumId w:val="18"/>
  </w:num>
  <w:num w:numId="21" w16cid:durableId="2056931042">
    <w:abstractNumId w:val="32"/>
  </w:num>
  <w:num w:numId="22" w16cid:durableId="277881800">
    <w:abstractNumId w:val="36"/>
  </w:num>
  <w:num w:numId="23" w16cid:durableId="2121104171">
    <w:abstractNumId w:val="24"/>
  </w:num>
  <w:num w:numId="24" w16cid:durableId="1956054883">
    <w:abstractNumId w:val="19"/>
  </w:num>
  <w:num w:numId="25" w16cid:durableId="1143275559">
    <w:abstractNumId w:val="27"/>
  </w:num>
  <w:num w:numId="26" w16cid:durableId="337998213">
    <w:abstractNumId w:val="28"/>
  </w:num>
  <w:num w:numId="27" w16cid:durableId="753867088">
    <w:abstractNumId w:val="22"/>
  </w:num>
  <w:num w:numId="28" w16cid:durableId="1388605013">
    <w:abstractNumId w:val="20"/>
  </w:num>
  <w:num w:numId="29" w16cid:durableId="1194684424">
    <w:abstractNumId w:val="29"/>
  </w:num>
  <w:num w:numId="30" w16cid:durableId="195780968">
    <w:abstractNumId w:val="40"/>
  </w:num>
  <w:num w:numId="31" w16cid:durableId="43145658">
    <w:abstractNumId w:val="35"/>
  </w:num>
  <w:num w:numId="32" w16cid:durableId="840119956">
    <w:abstractNumId w:val="53"/>
  </w:num>
  <w:num w:numId="33" w16cid:durableId="788086887">
    <w:abstractNumId w:val="46"/>
  </w:num>
  <w:num w:numId="34" w16cid:durableId="1075589885">
    <w:abstractNumId w:val="23"/>
  </w:num>
  <w:num w:numId="35" w16cid:durableId="1071587299">
    <w:abstractNumId w:val="50"/>
  </w:num>
  <w:num w:numId="36" w16cid:durableId="1091851232">
    <w:abstractNumId w:val="44"/>
  </w:num>
  <w:num w:numId="37" w16cid:durableId="1931697551">
    <w:abstractNumId w:val="21"/>
  </w:num>
  <w:num w:numId="38" w16cid:durableId="1849905691">
    <w:abstractNumId w:val="37"/>
  </w:num>
  <w:num w:numId="39" w16cid:durableId="276916249">
    <w:abstractNumId w:val="52"/>
  </w:num>
  <w:num w:numId="40" w16cid:durableId="935945555">
    <w:abstractNumId w:val="10"/>
  </w:num>
  <w:num w:numId="41" w16cid:durableId="1093478076">
    <w:abstractNumId w:val="16"/>
  </w:num>
  <w:num w:numId="42" w16cid:durableId="1347514231">
    <w:abstractNumId w:val="57"/>
  </w:num>
  <w:num w:numId="43" w16cid:durableId="30151458">
    <w:abstractNumId w:val="0"/>
  </w:num>
  <w:num w:numId="44" w16cid:durableId="207424313">
    <w:abstractNumId w:val="41"/>
  </w:num>
  <w:num w:numId="45" w16cid:durableId="1443723114">
    <w:abstractNumId w:val="42"/>
  </w:num>
  <w:num w:numId="46" w16cid:durableId="1609892873">
    <w:abstractNumId w:val="31"/>
  </w:num>
  <w:num w:numId="47" w16cid:durableId="966543058">
    <w:abstractNumId w:val="34"/>
  </w:num>
  <w:num w:numId="48" w16cid:durableId="2035420080">
    <w:abstractNumId w:val="13"/>
  </w:num>
  <w:num w:numId="49" w16cid:durableId="1083143886">
    <w:abstractNumId w:val="43"/>
  </w:num>
  <w:num w:numId="50" w16cid:durableId="166945364">
    <w:abstractNumId w:val="4"/>
  </w:num>
  <w:num w:numId="51" w16cid:durableId="903754630">
    <w:abstractNumId w:val="11"/>
  </w:num>
  <w:num w:numId="52" w16cid:durableId="1555392521">
    <w:abstractNumId w:val="48"/>
  </w:num>
  <w:num w:numId="53" w16cid:durableId="476650323">
    <w:abstractNumId w:val="54"/>
  </w:num>
  <w:num w:numId="54" w16cid:durableId="158624567">
    <w:abstractNumId w:val="6"/>
  </w:num>
  <w:num w:numId="55" w16cid:durableId="1893927055">
    <w:abstractNumId w:val="5"/>
  </w:num>
  <w:num w:numId="56" w16cid:durableId="1602911970">
    <w:abstractNumId w:val="38"/>
  </w:num>
  <w:num w:numId="57" w16cid:durableId="1793549435">
    <w:abstractNumId w:val="17"/>
  </w:num>
  <w:num w:numId="58" w16cid:durableId="1754623952">
    <w:abstractNumId w:val="26"/>
  </w:num>
  <w:num w:numId="59" w16cid:durableId="207883281">
    <w:abstractNumId w:val="51"/>
  </w:num>
  <w:num w:numId="60" w16cid:durableId="683244852">
    <w:abstractNumId w:val="14"/>
  </w:num>
  <w:num w:numId="61" w16cid:durableId="1087265031">
    <w:abstractNumId w:val="25"/>
  </w:num>
  <w:num w:numId="62" w16cid:durableId="1111781373">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0AD"/>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5372"/>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8BF"/>
    <w:rsid w:val="00031F9D"/>
    <w:rsid w:val="00031FC0"/>
    <w:rsid w:val="000324A0"/>
    <w:rsid w:val="0003285C"/>
    <w:rsid w:val="00032FB1"/>
    <w:rsid w:val="00033213"/>
    <w:rsid w:val="000351EF"/>
    <w:rsid w:val="0003527C"/>
    <w:rsid w:val="00035744"/>
    <w:rsid w:val="00035E3A"/>
    <w:rsid w:val="00035FFE"/>
    <w:rsid w:val="0003676E"/>
    <w:rsid w:val="0003732D"/>
    <w:rsid w:val="000379E3"/>
    <w:rsid w:val="00040B6E"/>
    <w:rsid w:val="00040B9B"/>
    <w:rsid w:val="00041910"/>
    <w:rsid w:val="00041B0F"/>
    <w:rsid w:val="00042374"/>
    <w:rsid w:val="00042CA4"/>
    <w:rsid w:val="0004301E"/>
    <w:rsid w:val="00043024"/>
    <w:rsid w:val="00044A05"/>
    <w:rsid w:val="00044B4C"/>
    <w:rsid w:val="000459BE"/>
    <w:rsid w:val="00045E08"/>
    <w:rsid w:val="00050318"/>
    <w:rsid w:val="00050545"/>
    <w:rsid w:val="00050957"/>
    <w:rsid w:val="00051788"/>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9E2"/>
    <w:rsid w:val="00060CF2"/>
    <w:rsid w:val="00060EEF"/>
    <w:rsid w:val="00061A8B"/>
    <w:rsid w:val="00062E63"/>
    <w:rsid w:val="0006353B"/>
    <w:rsid w:val="00063A62"/>
    <w:rsid w:val="00063BE7"/>
    <w:rsid w:val="000645B4"/>
    <w:rsid w:val="00065025"/>
    <w:rsid w:val="00065C5F"/>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5A"/>
    <w:rsid w:val="00076F5C"/>
    <w:rsid w:val="0007719F"/>
    <w:rsid w:val="00077C54"/>
    <w:rsid w:val="00077FD6"/>
    <w:rsid w:val="000800DC"/>
    <w:rsid w:val="000808D2"/>
    <w:rsid w:val="00081275"/>
    <w:rsid w:val="00081E65"/>
    <w:rsid w:val="00082D9A"/>
    <w:rsid w:val="00082E1A"/>
    <w:rsid w:val="00083DCB"/>
    <w:rsid w:val="000840C0"/>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5ED8"/>
    <w:rsid w:val="00096031"/>
    <w:rsid w:val="000962AD"/>
    <w:rsid w:val="000968A7"/>
    <w:rsid w:val="00097274"/>
    <w:rsid w:val="00097B64"/>
    <w:rsid w:val="00097E22"/>
    <w:rsid w:val="00097E2C"/>
    <w:rsid w:val="000A00B8"/>
    <w:rsid w:val="000A01EE"/>
    <w:rsid w:val="000A0579"/>
    <w:rsid w:val="000A0A66"/>
    <w:rsid w:val="000A0E4A"/>
    <w:rsid w:val="000A11B4"/>
    <w:rsid w:val="000A1E9C"/>
    <w:rsid w:val="000A25FD"/>
    <w:rsid w:val="000A2628"/>
    <w:rsid w:val="000A35F8"/>
    <w:rsid w:val="000A3C2D"/>
    <w:rsid w:val="000A3E09"/>
    <w:rsid w:val="000A505A"/>
    <w:rsid w:val="000A595A"/>
    <w:rsid w:val="000A59EA"/>
    <w:rsid w:val="000A67D0"/>
    <w:rsid w:val="000A7429"/>
    <w:rsid w:val="000A7CED"/>
    <w:rsid w:val="000B17DF"/>
    <w:rsid w:val="000B19D0"/>
    <w:rsid w:val="000B30E0"/>
    <w:rsid w:val="000B38EC"/>
    <w:rsid w:val="000B3965"/>
    <w:rsid w:val="000B3A01"/>
    <w:rsid w:val="000B431D"/>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9B"/>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03C"/>
    <w:rsid w:val="001318C8"/>
    <w:rsid w:val="00131FC6"/>
    <w:rsid w:val="001325E9"/>
    <w:rsid w:val="00132EBF"/>
    <w:rsid w:val="00132F37"/>
    <w:rsid w:val="00133A0A"/>
    <w:rsid w:val="001346E3"/>
    <w:rsid w:val="001352B6"/>
    <w:rsid w:val="00136107"/>
    <w:rsid w:val="00136139"/>
    <w:rsid w:val="0013776C"/>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7282"/>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174B"/>
    <w:rsid w:val="0018331E"/>
    <w:rsid w:val="00183E47"/>
    <w:rsid w:val="001851AB"/>
    <w:rsid w:val="001852AD"/>
    <w:rsid w:val="00185518"/>
    <w:rsid w:val="001859FA"/>
    <w:rsid w:val="00185AEF"/>
    <w:rsid w:val="00185CF1"/>
    <w:rsid w:val="00186961"/>
    <w:rsid w:val="001873FF"/>
    <w:rsid w:val="0018757B"/>
    <w:rsid w:val="0018776C"/>
    <w:rsid w:val="00187897"/>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56E"/>
    <w:rsid w:val="001A02F4"/>
    <w:rsid w:val="001A1078"/>
    <w:rsid w:val="001A14D9"/>
    <w:rsid w:val="001A2DA5"/>
    <w:rsid w:val="001A31AA"/>
    <w:rsid w:val="001A31D4"/>
    <w:rsid w:val="001A45C5"/>
    <w:rsid w:val="001A45CC"/>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4"/>
    <w:rsid w:val="001C6638"/>
    <w:rsid w:val="001C79BE"/>
    <w:rsid w:val="001C7AD6"/>
    <w:rsid w:val="001D0D3C"/>
    <w:rsid w:val="001D0DC4"/>
    <w:rsid w:val="001D1853"/>
    <w:rsid w:val="001D3529"/>
    <w:rsid w:val="001D5057"/>
    <w:rsid w:val="001D5DEE"/>
    <w:rsid w:val="001D6F61"/>
    <w:rsid w:val="001D714B"/>
    <w:rsid w:val="001D78C8"/>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F33"/>
    <w:rsid w:val="001F3622"/>
    <w:rsid w:val="001F479A"/>
    <w:rsid w:val="001F59EF"/>
    <w:rsid w:val="001F63EF"/>
    <w:rsid w:val="001F65D9"/>
    <w:rsid w:val="001F715B"/>
    <w:rsid w:val="00200136"/>
    <w:rsid w:val="002018D3"/>
    <w:rsid w:val="00201E08"/>
    <w:rsid w:val="00202AD7"/>
    <w:rsid w:val="00202ADF"/>
    <w:rsid w:val="00203C24"/>
    <w:rsid w:val="00203FC0"/>
    <w:rsid w:val="0020413C"/>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43FF"/>
    <w:rsid w:val="002346F9"/>
    <w:rsid w:val="00234CC7"/>
    <w:rsid w:val="002352A1"/>
    <w:rsid w:val="00235D67"/>
    <w:rsid w:val="00236B44"/>
    <w:rsid w:val="00236D56"/>
    <w:rsid w:val="00237CD3"/>
    <w:rsid w:val="00237FDA"/>
    <w:rsid w:val="002408BE"/>
    <w:rsid w:val="00241281"/>
    <w:rsid w:val="00241ACF"/>
    <w:rsid w:val="00242B77"/>
    <w:rsid w:val="0024363C"/>
    <w:rsid w:val="00245B24"/>
    <w:rsid w:val="00246B61"/>
    <w:rsid w:val="00247AF0"/>
    <w:rsid w:val="00250218"/>
    <w:rsid w:val="00250262"/>
    <w:rsid w:val="002509D0"/>
    <w:rsid w:val="00251B15"/>
    <w:rsid w:val="00253235"/>
    <w:rsid w:val="00253327"/>
    <w:rsid w:val="0025373D"/>
    <w:rsid w:val="002542BB"/>
    <w:rsid w:val="002547EB"/>
    <w:rsid w:val="00255AFA"/>
    <w:rsid w:val="00255EAD"/>
    <w:rsid w:val="0026077C"/>
    <w:rsid w:val="0026138A"/>
    <w:rsid w:val="00261BB3"/>
    <w:rsid w:val="00261E2B"/>
    <w:rsid w:val="00262700"/>
    <w:rsid w:val="00262AE2"/>
    <w:rsid w:val="00262E5F"/>
    <w:rsid w:val="0026384C"/>
    <w:rsid w:val="0026390A"/>
    <w:rsid w:val="00264381"/>
    <w:rsid w:val="00264656"/>
    <w:rsid w:val="002647F3"/>
    <w:rsid w:val="002651A8"/>
    <w:rsid w:val="00265267"/>
    <w:rsid w:val="00265343"/>
    <w:rsid w:val="00266436"/>
    <w:rsid w:val="00266742"/>
    <w:rsid w:val="002667DA"/>
    <w:rsid w:val="00266B89"/>
    <w:rsid w:val="002714DF"/>
    <w:rsid w:val="0027274E"/>
    <w:rsid w:val="00272BF3"/>
    <w:rsid w:val="00273259"/>
    <w:rsid w:val="0027328C"/>
    <w:rsid w:val="00273A6D"/>
    <w:rsid w:val="00273B33"/>
    <w:rsid w:val="00273D87"/>
    <w:rsid w:val="00273EB9"/>
    <w:rsid w:val="002742D0"/>
    <w:rsid w:val="00275844"/>
    <w:rsid w:val="0027597C"/>
    <w:rsid w:val="00275C10"/>
    <w:rsid w:val="00276050"/>
    <w:rsid w:val="00276891"/>
    <w:rsid w:val="002772D9"/>
    <w:rsid w:val="00277997"/>
    <w:rsid w:val="00277CA2"/>
    <w:rsid w:val="0028073E"/>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9E6"/>
    <w:rsid w:val="002A4EB3"/>
    <w:rsid w:val="002A5B38"/>
    <w:rsid w:val="002A7A85"/>
    <w:rsid w:val="002B0A1B"/>
    <w:rsid w:val="002B15A0"/>
    <w:rsid w:val="002B5728"/>
    <w:rsid w:val="002B5A86"/>
    <w:rsid w:val="002B607F"/>
    <w:rsid w:val="002B718D"/>
    <w:rsid w:val="002B7961"/>
    <w:rsid w:val="002C1CDD"/>
    <w:rsid w:val="002C1DE0"/>
    <w:rsid w:val="002C1F9E"/>
    <w:rsid w:val="002C22E6"/>
    <w:rsid w:val="002C25CA"/>
    <w:rsid w:val="002C394F"/>
    <w:rsid w:val="002C416C"/>
    <w:rsid w:val="002C430D"/>
    <w:rsid w:val="002C4722"/>
    <w:rsid w:val="002C48C9"/>
    <w:rsid w:val="002C56D8"/>
    <w:rsid w:val="002C573C"/>
    <w:rsid w:val="002C5867"/>
    <w:rsid w:val="002C5FD5"/>
    <w:rsid w:val="002C670E"/>
    <w:rsid w:val="002C6890"/>
    <w:rsid w:val="002D1506"/>
    <w:rsid w:val="002D16B0"/>
    <w:rsid w:val="002D1B35"/>
    <w:rsid w:val="002D1B4F"/>
    <w:rsid w:val="002D3A6D"/>
    <w:rsid w:val="002D3DB0"/>
    <w:rsid w:val="002D3EAD"/>
    <w:rsid w:val="002D3F24"/>
    <w:rsid w:val="002D4269"/>
    <w:rsid w:val="002D4588"/>
    <w:rsid w:val="002D462A"/>
    <w:rsid w:val="002D46C6"/>
    <w:rsid w:val="002D53B5"/>
    <w:rsid w:val="002D5C49"/>
    <w:rsid w:val="002D621A"/>
    <w:rsid w:val="002D64CA"/>
    <w:rsid w:val="002D6A82"/>
    <w:rsid w:val="002D797D"/>
    <w:rsid w:val="002E01CC"/>
    <w:rsid w:val="002E35D6"/>
    <w:rsid w:val="002E3E8A"/>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40"/>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19F"/>
    <w:rsid w:val="003142B1"/>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27DD"/>
    <w:rsid w:val="00352C9D"/>
    <w:rsid w:val="00353546"/>
    <w:rsid w:val="003542FC"/>
    <w:rsid w:val="00354AC7"/>
    <w:rsid w:val="003555DE"/>
    <w:rsid w:val="003567BE"/>
    <w:rsid w:val="00356DED"/>
    <w:rsid w:val="00356FD9"/>
    <w:rsid w:val="00360017"/>
    <w:rsid w:val="00360436"/>
    <w:rsid w:val="00360F8E"/>
    <w:rsid w:val="00361280"/>
    <w:rsid w:val="00362A76"/>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05A"/>
    <w:rsid w:val="0038760E"/>
    <w:rsid w:val="0038790F"/>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2D69"/>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CF0"/>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65CD"/>
    <w:rsid w:val="004073E7"/>
    <w:rsid w:val="00407B4B"/>
    <w:rsid w:val="00407D5E"/>
    <w:rsid w:val="00411C70"/>
    <w:rsid w:val="00412074"/>
    <w:rsid w:val="0041291C"/>
    <w:rsid w:val="00412F8E"/>
    <w:rsid w:val="004130E6"/>
    <w:rsid w:val="0041312E"/>
    <w:rsid w:val="00413B3A"/>
    <w:rsid w:val="00414678"/>
    <w:rsid w:val="00414C67"/>
    <w:rsid w:val="00414EA0"/>
    <w:rsid w:val="004155EE"/>
    <w:rsid w:val="00415773"/>
    <w:rsid w:val="004158D4"/>
    <w:rsid w:val="00415A2F"/>
    <w:rsid w:val="0041690F"/>
    <w:rsid w:val="00416AE9"/>
    <w:rsid w:val="0041734E"/>
    <w:rsid w:val="004209ED"/>
    <w:rsid w:val="00421C9C"/>
    <w:rsid w:val="00423275"/>
    <w:rsid w:val="0042414A"/>
    <w:rsid w:val="00424491"/>
    <w:rsid w:val="0042453F"/>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CCA"/>
    <w:rsid w:val="00444F50"/>
    <w:rsid w:val="00446921"/>
    <w:rsid w:val="004505D5"/>
    <w:rsid w:val="004508F4"/>
    <w:rsid w:val="0045163F"/>
    <w:rsid w:val="00451FC4"/>
    <w:rsid w:val="00452702"/>
    <w:rsid w:val="004530B2"/>
    <w:rsid w:val="0045433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AF8"/>
    <w:rsid w:val="00473BEF"/>
    <w:rsid w:val="00474181"/>
    <w:rsid w:val="00474920"/>
    <w:rsid w:val="00474C95"/>
    <w:rsid w:val="0047511F"/>
    <w:rsid w:val="004762AE"/>
    <w:rsid w:val="00476399"/>
    <w:rsid w:val="0047674A"/>
    <w:rsid w:val="004775D5"/>
    <w:rsid w:val="00477C5F"/>
    <w:rsid w:val="00477EDE"/>
    <w:rsid w:val="00480051"/>
    <w:rsid w:val="00480430"/>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1783"/>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25E"/>
    <w:rsid w:val="004A53E3"/>
    <w:rsid w:val="004A5678"/>
    <w:rsid w:val="004A5DDD"/>
    <w:rsid w:val="004A6E1C"/>
    <w:rsid w:val="004B01E1"/>
    <w:rsid w:val="004B0E42"/>
    <w:rsid w:val="004B1375"/>
    <w:rsid w:val="004B1E5A"/>
    <w:rsid w:val="004B214D"/>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0FE7"/>
    <w:rsid w:val="004C3495"/>
    <w:rsid w:val="004C3603"/>
    <w:rsid w:val="004C3D17"/>
    <w:rsid w:val="004C41DC"/>
    <w:rsid w:val="004C48D3"/>
    <w:rsid w:val="004C74E9"/>
    <w:rsid w:val="004C7F1F"/>
    <w:rsid w:val="004D09CC"/>
    <w:rsid w:val="004D1B24"/>
    <w:rsid w:val="004D1B6D"/>
    <w:rsid w:val="004D3652"/>
    <w:rsid w:val="004D38D7"/>
    <w:rsid w:val="004D4494"/>
    <w:rsid w:val="004D48B4"/>
    <w:rsid w:val="004D4B1A"/>
    <w:rsid w:val="004D4D0C"/>
    <w:rsid w:val="004D4ED2"/>
    <w:rsid w:val="004D5613"/>
    <w:rsid w:val="004D569C"/>
    <w:rsid w:val="004D63AF"/>
    <w:rsid w:val="004E04C9"/>
    <w:rsid w:val="004E0875"/>
    <w:rsid w:val="004E1C2E"/>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8AA"/>
    <w:rsid w:val="005063B3"/>
    <w:rsid w:val="0050694D"/>
    <w:rsid w:val="00506B77"/>
    <w:rsid w:val="00507AA3"/>
    <w:rsid w:val="005102AE"/>
    <w:rsid w:val="005102D5"/>
    <w:rsid w:val="005105A7"/>
    <w:rsid w:val="00510895"/>
    <w:rsid w:val="0051133A"/>
    <w:rsid w:val="0051173B"/>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11D2"/>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6D17"/>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0B94"/>
    <w:rsid w:val="005D1422"/>
    <w:rsid w:val="005D17C2"/>
    <w:rsid w:val="005D1FA7"/>
    <w:rsid w:val="005D3A5E"/>
    <w:rsid w:val="005D3C28"/>
    <w:rsid w:val="005D41F4"/>
    <w:rsid w:val="005D4625"/>
    <w:rsid w:val="005D463B"/>
    <w:rsid w:val="005D595E"/>
    <w:rsid w:val="005D64E5"/>
    <w:rsid w:val="005E1E9C"/>
    <w:rsid w:val="005E1FEF"/>
    <w:rsid w:val="005E2C2C"/>
    <w:rsid w:val="005E345A"/>
    <w:rsid w:val="005E4261"/>
    <w:rsid w:val="005E46F1"/>
    <w:rsid w:val="005E477E"/>
    <w:rsid w:val="005E480F"/>
    <w:rsid w:val="005E64C8"/>
    <w:rsid w:val="005E6539"/>
    <w:rsid w:val="005E69DE"/>
    <w:rsid w:val="005E6EFD"/>
    <w:rsid w:val="005F04E2"/>
    <w:rsid w:val="005F11C1"/>
    <w:rsid w:val="005F122C"/>
    <w:rsid w:val="005F1A62"/>
    <w:rsid w:val="005F2074"/>
    <w:rsid w:val="005F22AD"/>
    <w:rsid w:val="005F234D"/>
    <w:rsid w:val="005F33E0"/>
    <w:rsid w:val="005F3B99"/>
    <w:rsid w:val="005F4753"/>
    <w:rsid w:val="005F4A2C"/>
    <w:rsid w:val="005F5D6E"/>
    <w:rsid w:val="005F5DE2"/>
    <w:rsid w:val="005F6885"/>
    <w:rsid w:val="005F6B0E"/>
    <w:rsid w:val="005F74B5"/>
    <w:rsid w:val="006002BA"/>
    <w:rsid w:val="006004F7"/>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5769"/>
    <w:rsid w:val="00626783"/>
    <w:rsid w:val="00626C49"/>
    <w:rsid w:val="006271F5"/>
    <w:rsid w:val="0062732B"/>
    <w:rsid w:val="006273DB"/>
    <w:rsid w:val="006274F4"/>
    <w:rsid w:val="006278EE"/>
    <w:rsid w:val="006279ED"/>
    <w:rsid w:val="00627D4A"/>
    <w:rsid w:val="006308ED"/>
    <w:rsid w:val="00630E6B"/>
    <w:rsid w:val="00631363"/>
    <w:rsid w:val="00632015"/>
    <w:rsid w:val="006320AE"/>
    <w:rsid w:val="006321BB"/>
    <w:rsid w:val="00633379"/>
    <w:rsid w:val="00633AD1"/>
    <w:rsid w:val="00633C98"/>
    <w:rsid w:val="0063450B"/>
    <w:rsid w:val="00634944"/>
    <w:rsid w:val="00634D36"/>
    <w:rsid w:val="00634D48"/>
    <w:rsid w:val="00635722"/>
    <w:rsid w:val="0063605F"/>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B83"/>
    <w:rsid w:val="00660F08"/>
    <w:rsid w:val="006610FA"/>
    <w:rsid w:val="006611D3"/>
    <w:rsid w:val="0066147C"/>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5DA0"/>
    <w:rsid w:val="006877DB"/>
    <w:rsid w:val="00687842"/>
    <w:rsid w:val="00687C17"/>
    <w:rsid w:val="0069017A"/>
    <w:rsid w:val="00690490"/>
    <w:rsid w:val="006918EE"/>
    <w:rsid w:val="00691F11"/>
    <w:rsid w:val="00692682"/>
    <w:rsid w:val="00692A6A"/>
    <w:rsid w:val="00692F61"/>
    <w:rsid w:val="00692F75"/>
    <w:rsid w:val="00694373"/>
    <w:rsid w:val="0069504A"/>
    <w:rsid w:val="00695051"/>
    <w:rsid w:val="00695558"/>
    <w:rsid w:val="00695FEA"/>
    <w:rsid w:val="0069618B"/>
    <w:rsid w:val="0069658E"/>
    <w:rsid w:val="00696C66"/>
    <w:rsid w:val="006A05A5"/>
    <w:rsid w:val="006A0CBB"/>
    <w:rsid w:val="006A1353"/>
    <w:rsid w:val="006A2AED"/>
    <w:rsid w:val="006A2C54"/>
    <w:rsid w:val="006A2C60"/>
    <w:rsid w:val="006A3B3B"/>
    <w:rsid w:val="006A48AC"/>
    <w:rsid w:val="006A4A7F"/>
    <w:rsid w:val="006A6596"/>
    <w:rsid w:val="006A6971"/>
    <w:rsid w:val="006A6E83"/>
    <w:rsid w:val="006A7F13"/>
    <w:rsid w:val="006A7F66"/>
    <w:rsid w:val="006B0442"/>
    <w:rsid w:val="006B04EF"/>
    <w:rsid w:val="006B2AF3"/>
    <w:rsid w:val="006B4BDB"/>
    <w:rsid w:val="006B50FA"/>
    <w:rsid w:val="006B5B2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907"/>
    <w:rsid w:val="006D30E6"/>
    <w:rsid w:val="006D35B4"/>
    <w:rsid w:val="006D5047"/>
    <w:rsid w:val="006D516E"/>
    <w:rsid w:val="006D53B5"/>
    <w:rsid w:val="006D669F"/>
    <w:rsid w:val="006D6725"/>
    <w:rsid w:val="006D7810"/>
    <w:rsid w:val="006E064C"/>
    <w:rsid w:val="006E0B5C"/>
    <w:rsid w:val="006E0C02"/>
    <w:rsid w:val="006E1452"/>
    <w:rsid w:val="006E16E6"/>
    <w:rsid w:val="006E1ECC"/>
    <w:rsid w:val="006E2D78"/>
    <w:rsid w:val="006E2E2A"/>
    <w:rsid w:val="006E390D"/>
    <w:rsid w:val="006E41D3"/>
    <w:rsid w:val="006E485F"/>
    <w:rsid w:val="006E5442"/>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2FC3"/>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1814"/>
    <w:rsid w:val="007334AD"/>
    <w:rsid w:val="007338BF"/>
    <w:rsid w:val="0073452C"/>
    <w:rsid w:val="0073469E"/>
    <w:rsid w:val="00734B9B"/>
    <w:rsid w:val="00735712"/>
    <w:rsid w:val="007358EB"/>
    <w:rsid w:val="00735E8B"/>
    <w:rsid w:val="00735F06"/>
    <w:rsid w:val="007362B7"/>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B89"/>
    <w:rsid w:val="007717DE"/>
    <w:rsid w:val="00771980"/>
    <w:rsid w:val="00771EDD"/>
    <w:rsid w:val="00772586"/>
    <w:rsid w:val="007729AF"/>
    <w:rsid w:val="00772DAA"/>
    <w:rsid w:val="00772FF5"/>
    <w:rsid w:val="00773373"/>
    <w:rsid w:val="00773A5A"/>
    <w:rsid w:val="007741C0"/>
    <w:rsid w:val="0077426D"/>
    <w:rsid w:val="00775200"/>
    <w:rsid w:val="00775528"/>
    <w:rsid w:val="00776DC6"/>
    <w:rsid w:val="00777681"/>
    <w:rsid w:val="00777880"/>
    <w:rsid w:val="007806A8"/>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FE5"/>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08"/>
    <w:rsid w:val="007B2D31"/>
    <w:rsid w:val="007B2E0F"/>
    <w:rsid w:val="007B3D65"/>
    <w:rsid w:val="007B3E2E"/>
    <w:rsid w:val="007B3EC5"/>
    <w:rsid w:val="007B4654"/>
    <w:rsid w:val="007B4666"/>
    <w:rsid w:val="007B49A9"/>
    <w:rsid w:val="007B4FF5"/>
    <w:rsid w:val="007B503F"/>
    <w:rsid w:val="007B5B1A"/>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E3A"/>
    <w:rsid w:val="007E4E98"/>
    <w:rsid w:val="007E53EC"/>
    <w:rsid w:val="007E54F5"/>
    <w:rsid w:val="007E66BC"/>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0E"/>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3E47"/>
    <w:rsid w:val="00844889"/>
    <w:rsid w:val="008448D7"/>
    <w:rsid w:val="008453CB"/>
    <w:rsid w:val="00845CC0"/>
    <w:rsid w:val="00845D84"/>
    <w:rsid w:val="00846653"/>
    <w:rsid w:val="00846721"/>
    <w:rsid w:val="00846987"/>
    <w:rsid w:val="008472A5"/>
    <w:rsid w:val="00847453"/>
    <w:rsid w:val="0085060C"/>
    <w:rsid w:val="008506C7"/>
    <w:rsid w:val="00850CA7"/>
    <w:rsid w:val="00851254"/>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92F"/>
    <w:rsid w:val="00876EF6"/>
    <w:rsid w:val="00876F74"/>
    <w:rsid w:val="008804CD"/>
    <w:rsid w:val="008806E4"/>
    <w:rsid w:val="008809D5"/>
    <w:rsid w:val="00880DC8"/>
    <w:rsid w:val="00880E4F"/>
    <w:rsid w:val="00880FC6"/>
    <w:rsid w:val="00882774"/>
    <w:rsid w:val="0088483A"/>
    <w:rsid w:val="00884AB6"/>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EB2"/>
    <w:rsid w:val="008B6469"/>
    <w:rsid w:val="008B695B"/>
    <w:rsid w:val="008B742A"/>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27B"/>
    <w:rsid w:val="008D17B4"/>
    <w:rsid w:val="008D22DD"/>
    <w:rsid w:val="008D2A0D"/>
    <w:rsid w:val="008D3DD6"/>
    <w:rsid w:val="008D4149"/>
    <w:rsid w:val="008D447A"/>
    <w:rsid w:val="008D4D76"/>
    <w:rsid w:val="008D4DDC"/>
    <w:rsid w:val="008D4E62"/>
    <w:rsid w:val="008D5BD4"/>
    <w:rsid w:val="008D5D1C"/>
    <w:rsid w:val="008D61C3"/>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29A"/>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AB8"/>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1F97"/>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0B9"/>
    <w:rsid w:val="00971527"/>
    <w:rsid w:val="009715AD"/>
    <w:rsid w:val="0097246A"/>
    <w:rsid w:val="00972E40"/>
    <w:rsid w:val="00973033"/>
    <w:rsid w:val="0097380E"/>
    <w:rsid w:val="009755AF"/>
    <w:rsid w:val="00975937"/>
    <w:rsid w:val="009768AE"/>
    <w:rsid w:val="009771E3"/>
    <w:rsid w:val="0097762D"/>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9B8"/>
    <w:rsid w:val="009A4F03"/>
    <w:rsid w:val="009A6E72"/>
    <w:rsid w:val="009A7384"/>
    <w:rsid w:val="009B0FF4"/>
    <w:rsid w:val="009B26C3"/>
    <w:rsid w:val="009B3549"/>
    <w:rsid w:val="009B37D5"/>
    <w:rsid w:val="009B3FCD"/>
    <w:rsid w:val="009B4FA5"/>
    <w:rsid w:val="009B587D"/>
    <w:rsid w:val="009B5EEC"/>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B96"/>
    <w:rsid w:val="009D4D61"/>
    <w:rsid w:val="009D56DB"/>
    <w:rsid w:val="009D57B5"/>
    <w:rsid w:val="009D6EA7"/>
    <w:rsid w:val="009D7356"/>
    <w:rsid w:val="009D7B43"/>
    <w:rsid w:val="009D7C18"/>
    <w:rsid w:val="009E072E"/>
    <w:rsid w:val="009E0F48"/>
    <w:rsid w:val="009E13FA"/>
    <w:rsid w:val="009E23E5"/>
    <w:rsid w:val="009E2D98"/>
    <w:rsid w:val="009E3581"/>
    <w:rsid w:val="009E3632"/>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D12"/>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DC6"/>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E16"/>
    <w:rsid w:val="00A62FBC"/>
    <w:rsid w:val="00A64C07"/>
    <w:rsid w:val="00A64E58"/>
    <w:rsid w:val="00A64E9F"/>
    <w:rsid w:val="00A651C1"/>
    <w:rsid w:val="00A65FF2"/>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19E1"/>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0393"/>
    <w:rsid w:val="00AA1144"/>
    <w:rsid w:val="00AA1B88"/>
    <w:rsid w:val="00AA1BC9"/>
    <w:rsid w:val="00AA1E9A"/>
    <w:rsid w:val="00AA2043"/>
    <w:rsid w:val="00AA204B"/>
    <w:rsid w:val="00AA28EA"/>
    <w:rsid w:val="00AA2AAE"/>
    <w:rsid w:val="00AA2CE3"/>
    <w:rsid w:val="00AA3019"/>
    <w:rsid w:val="00AA3558"/>
    <w:rsid w:val="00AA399E"/>
    <w:rsid w:val="00AA3DE4"/>
    <w:rsid w:val="00AA3E66"/>
    <w:rsid w:val="00AA502D"/>
    <w:rsid w:val="00AA5273"/>
    <w:rsid w:val="00AA6419"/>
    <w:rsid w:val="00AA6612"/>
    <w:rsid w:val="00AA7890"/>
    <w:rsid w:val="00AA7B46"/>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6C"/>
    <w:rsid w:val="00AC00CE"/>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010"/>
    <w:rsid w:val="00AE273E"/>
    <w:rsid w:val="00AE2ED5"/>
    <w:rsid w:val="00AE3836"/>
    <w:rsid w:val="00AE4865"/>
    <w:rsid w:val="00AE574C"/>
    <w:rsid w:val="00AE5B08"/>
    <w:rsid w:val="00AE6BBB"/>
    <w:rsid w:val="00AE75B5"/>
    <w:rsid w:val="00AE7671"/>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745"/>
    <w:rsid w:val="00B00884"/>
    <w:rsid w:val="00B01928"/>
    <w:rsid w:val="00B02280"/>
    <w:rsid w:val="00B0307A"/>
    <w:rsid w:val="00B068F8"/>
    <w:rsid w:val="00B06DCC"/>
    <w:rsid w:val="00B073CB"/>
    <w:rsid w:val="00B0774E"/>
    <w:rsid w:val="00B07F1E"/>
    <w:rsid w:val="00B106AA"/>
    <w:rsid w:val="00B10FCB"/>
    <w:rsid w:val="00B12A56"/>
    <w:rsid w:val="00B131B8"/>
    <w:rsid w:val="00B13B32"/>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480A"/>
    <w:rsid w:val="00B35AC3"/>
    <w:rsid w:val="00B35D04"/>
    <w:rsid w:val="00B36598"/>
    <w:rsid w:val="00B40438"/>
    <w:rsid w:val="00B406C0"/>
    <w:rsid w:val="00B4094C"/>
    <w:rsid w:val="00B4168E"/>
    <w:rsid w:val="00B42721"/>
    <w:rsid w:val="00B42DD2"/>
    <w:rsid w:val="00B42FE9"/>
    <w:rsid w:val="00B43911"/>
    <w:rsid w:val="00B43B08"/>
    <w:rsid w:val="00B45243"/>
    <w:rsid w:val="00B455B9"/>
    <w:rsid w:val="00B4739F"/>
    <w:rsid w:val="00B47797"/>
    <w:rsid w:val="00B47819"/>
    <w:rsid w:val="00B478CD"/>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5980"/>
    <w:rsid w:val="00B6747C"/>
    <w:rsid w:val="00B7074B"/>
    <w:rsid w:val="00B70AD8"/>
    <w:rsid w:val="00B7162C"/>
    <w:rsid w:val="00B71AFF"/>
    <w:rsid w:val="00B71E86"/>
    <w:rsid w:val="00B724AF"/>
    <w:rsid w:val="00B7298C"/>
    <w:rsid w:val="00B72D64"/>
    <w:rsid w:val="00B731C9"/>
    <w:rsid w:val="00B73AB5"/>
    <w:rsid w:val="00B7438C"/>
    <w:rsid w:val="00B74FC7"/>
    <w:rsid w:val="00B75B41"/>
    <w:rsid w:val="00B75EF4"/>
    <w:rsid w:val="00B76056"/>
    <w:rsid w:val="00B763F6"/>
    <w:rsid w:val="00B76D98"/>
    <w:rsid w:val="00B80F98"/>
    <w:rsid w:val="00B81AB9"/>
    <w:rsid w:val="00B82BA7"/>
    <w:rsid w:val="00B82D83"/>
    <w:rsid w:val="00B8315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1E94"/>
    <w:rsid w:val="00B91EB7"/>
    <w:rsid w:val="00B92059"/>
    <w:rsid w:val="00B92154"/>
    <w:rsid w:val="00B92331"/>
    <w:rsid w:val="00B9277A"/>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1C0"/>
    <w:rsid w:val="00BD4491"/>
    <w:rsid w:val="00BD45A6"/>
    <w:rsid w:val="00BD49DC"/>
    <w:rsid w:val="00BD5AD7"/>
    <w:rsid w:val="00BD62F3"/>
    <w:rsid w:val="00BD6C75"/>
    <w:rsid w:val="00BD71CA"/>
    <w:rsid w:val="00BE1101"/>
    <w:rsid w:val="00BE1B06"/>
    <w:rsid w:val="00BE397A"/>
    <w:rsid w:val="00BE3D35"/>
    <w:rsid w:val="00BE454B"/>
    <w:rsid w:val="00BE4AEE"/>
    <w:rsid w:val="00BE5C1E"/>
    <w:rsid w:val="00BE64A0"/>
    <w:rsid w:val="00BE6C06"/>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37DF"/>
    <w:rsid w:val="00C04005"/>
    <w:rsid w:val="00C05A38"/>
    <w:rsid w:val="00C05D08"/>
    <w:rsid w:val="00C07CAF"/>
    <w:rsid w:val="00C07CBF"/>
    <w:rsid w:val="00C10078"/>
    <w:rsid w:val="00C11403"/>
    <w:rsid w:val="00C1249F"/>
    <w:rsid w:val="00C124ED"/>
    <w:rsid w:val="00C125C3"/>
    <w:rsid w:val="00C13140"/>
    <w:rsid w:val="00C13336"/>
    <w:rsid w:val="00C1339D"/>
    <w:rsid w:val="00C14A6F"/>
    <w:rsid w:val="00C157BC"/>
    <w:rsid w:val="00C15B76"/>
    <w:rsid w:val="00C15D4C"/>
    <w:rsid w:val="00C1609D"/>
    <w:rsid w:val="00C161E7"/>
    <w:rsid w:val="00C177A7"/>
    <w:rsid w:val="00C21B81"/>
    <w:rsid w:val="00C21FA8"/>
    <w:rsid w:val="00C222BD"/>
    <w:rsid w:val="00C22EF0"/>
    <w:rsid w:val="00C23A86"/>
    <w:rsid w:val="00C23C39"/>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659"/>
    <w:rsid w:val="00C41ADF"/>
    <w:rsid w:val="00C42523"/>
    <w:rsid w:val="00C42638"/>
    <w:rsid w:val="00C4288D"/>
    <w:rsid w:val="00C435E9"/>
    <w:rsid w:val="00C43835"/>
    <w:rsid w:val="00C44556"/>
    <w:rsid w:val="00C44695"/>
    <w:rsid w:val="00C45734"/>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3AD"/>
    <w:rsid w:val="00CA09C0"/>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4AF1"/>
    <w:rsid w:val="00CB4DF7"/>
    <w:rsid w:val="00CB5883"/>
    <w:rsid w:val="00CB59B6"/>
    <w:rsid w:val="00CB59D8"/>
    <w:rsid w:val="00CB5D4C"/>
    <w:rsid w:val="00CB6544"/>
    <w:rsid w:val="00CB6882"/>
    <w:rsid w:val="00CB7906"/>
    <w:rsid w:val="00CC0A82"/>
    <w:rsid w:val="00CC1194"/>
    <w:rsid w:val="00CC15C6"/>
    <w:rsid w:val="00CC29B9"/>
    <w:rsid w:val="00CC449F"/>
    <w:rsid w:val="00CC484F"/>
    <w:rsid w:val="00CC4B01"/>
    <w:rsid w:val="00CC50D3"/>
    <w:rsid w:val="00CC559C"/>
    <w:rsid w:val="00CC5D1B"/>
    <w:rsid w:val="00CC724E"/>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1FF7"/>
    <w:rsid w:val="00D031E1"/>
    <w:rsid w:val="00D04932"/>
    <w:rsid w:val="00D04B3F"/>
    <w:rsid w:val="00D05D8C"/>
    <w:rsid w:val="00D10A4D"/>
    <w:rsid w:val="00D10A90"/>
    <w:rsid w:val="00D10D4B"/>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8B2"/>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3B8"/>
    <w:rsid w:val="00D64754"/>
    <w:rsid w:val="00D64790"/>
    <w:rsid w:val="00D65609"/>
    <w:rsid w:val="00D658B9"/>
    <w:rsid w:val="00D65C58"/>
    <w:rsid w:val="00D66D97"/>
    <w:rsid w:val="00D66EE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241"/>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AE5"/>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B7D1A"/>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51E"/>
    <w:rsid w:val="00DC6855"/>
    <w:rsid w:val="00DC6E29"/>
    <w:rsid w:val="00DC716E"/>
    <w:rsid w:val="00DC75E6"/>
    <w:rsid w:val="00DD1B10"/>
    <w:rsid w:val="00DD33F7"/>
    <w:rsid w:val="00DD3DF9"/>
    <w:rsid w:val="00DD4105"/>
    <w:rsid w:val="00DD44AA"/>
    <w:rsid w:val="00DD4798"/>
    <w:rsid w:val="00DD502C"/>
    <w:rsid w:val="00DD58FE"/>
    <w:rsid w:val="00DD5F39"/>
    <w:rsid w:val="00DD655B"/>
    <w:rsid w:val="00DD668E"/>
    <w:rsid w:val="00DE0260"/>
    <w:rsid w:val="00DE0E20"/>
    <w:rsid w:val="00DE1A20"/>
    <w:rsid w:val="00DE2285"/>
    <w:rsid w:val="00DE296E"/>
    <w:rsid w:val="00DE2D02"/>
    <w:rsid w:val="00DE33A3"/>
    <w:rsid w:val="00DE43F6"/>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2F90"/>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3ED3"/>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2B3"/>
    <w:rsid w:val="00E3464C"/>
    <w:rsid w:val="00E356F0"/>
    <w:rsid w:val="00E357B6"/>
    <w:rsid w:val="00E35CD0"/>
    <w:rsid w:val="00E365AF"/>
    <w:rsid w:val="00E3685C"/>
    <w:rsid w:val="00E37075"/>
    <w:rsid w:val="00E3784B"/>
    <w:rsid w:val="00E4050B"/>
    <w:rsid w:val="00E4233B"/>
    <w:rsid w:val="00E42B9B"/>
    <w:rsid w:val="00E432C5"/>
    <w:rsid w:val="00E43D80"/>
    <w:rsid w:val="00E441A5"/>
    <w:rsid w:val="00E44659"/>
    <w:rsid w:val="00E44F2B"/>
    <w:rsid w:val="00E452A6"/>
    <w:rsid w:val="00E4677A"/>
    <w:rsid w:val="00E46EA7"/>
    <w:rsid w:val="00E4796D"/>
    <w:rsid w:val="00E47CCB"/>
    <w:rsid w:val="00E50359"/>
    <w:rsid w:val="00E50622"/>
    <w:rsid w:val="00E50869"/>
    <w:rsid w:val="00E52644"/>
    <w:rsid w:val="00E5380E"/>
    <w:rsid w:val="00E53891"/>
    <w:rsid w:val="00E54002"/>
    <w:rsid w:val="00E541C9"/>
    <w:rsid w:val="00E54DEC"/>
    <w:rsid w:val="00E55416"/>
    <w:rsid w:val="00E5542F"/>
    <w:rsid w:val="00E557C7"/>
    <w:rsid w:val="00E55E14"/>
    <w:rsid w:val="00E562BB"/>
    <w:rsid w:val="00E5708F"/>
    <w:rsid w:val="00E61DED"/>
    <w:rsid w:val="00E62127"/>
    <w:rsid w:val="00E62C29"/>
    <w:rsid w:val="00E6468F"/>
    <w:rsid w:val="00E64DAD"/>
    <w:rsid w:val="00E6610F"/>
    <w:rsid w:val="00E66266"/>
    <w:rsid w:val="00E662D6"/>
    <w:rsid w:val="00E66397"/>
    <w:rsid w:val="00E6642C"/>
    <w:rsid w:val="00E67EC0"/>
    <w:rsid w:val="00E67FB9"/>
    <w:rsid w:val="00E70A04"/>
    <w:rsid w:val="00E70FFF"/>
    <w:rsid w:val="00E710D7"/>
    <w:rsid w:val="00E716E1"/>
    <w:rsid w:val="00E72043"/>
    <w:rsid w:val="00E72B95"/>
    <w:rsid w:val="00E738CB"/>
    <w:rsid w:val="00E73A1F"/>
    <w:rsid w:val="00E73E10"/>
    <w:rsid w:val="00E74128"/>
    <w:rsid w:val="00E74661"/>
    <w:rsid w:val="00E7481A"/>
    <w:rsid w:val="00E74B87"/>
    <w:rsid w:val="00E7582F"/>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C27"/>
    <w:rsid w:val="00E86F5D"/>
    <w:rsid w:val="00E87A87"/>
    <w:rsid w:val="00E87C8A"/>
    <w:rsid w:val="00E87CFD"/>
    <w:rsid w:val="00E87DB5"/>
    <w:rsid w:val="00E87DDB"/>
    <w:rsid w:val="00E87F02"/>
    <w:rsid w:val="00E90DA1"/>
    <w:rsid w:val="00E910B1"/>
    <w:rsid w:val="00E9168A"/>
    <w:rsid w:val="00E925A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683A"/>
    <w:rsid w:val="00EB7EBD"/>
    <w:rsid w:val="00EC0262"/>
    <w:rsid w:val="00EC1967"/>
    <w:rsid w:val="00EC2C55"/>
    <w:rsid w:val="00EC3220"/>
    <w:rsid w:val="00EC36BD"/>
    <w:rsid w:val="00EC3A24"/>
    <w:rsid w:val="00EC3C1A"/>
    <w:rsid w:val="00EC3C52"/>
    <w:rsid w:val="00EC4202"/>
    <w:rsid w:val="00EC44D5"/>
    <w:rsid w:val="00EC4DD5"/>
    <w:rsid w:val="00EC5BD1"/>
    <w:rsid w:val="00ED08A2"/>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94A"/>
    <w:rsid w:val="00F12DB9"/>
    <w:rsid w:val="00F133AD"/>
    <w:rsid w:val="00F1373A"/>
    <w:rsid w:val="00F13A12"/>
    <w:rsid w:val="00F13ED4"/>
    <w:rsid w:val="00F14337"/>
    <w:rsid w:val="00F14781"/>
    <w:rsid w:val="00F1488B"/>
    <w:rsid w:val="00F149B9"/>
    <w:rsid w:val="00F154C2"/>
    <w:rsid w:val="00F15962"/>
    <w:rsid w:val="00F1596E"/>
    <w:rsid w:val="00F161F8"/>
    <w:rsid w:val="00F16466"/>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27D36"/>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7A2"/>
    <w:rsid w:val="00F47C45"/>
    <w:rsid w:val="00F510AA"/>
    <w:rsid w:val="00F513E9"/>
    <w:rsid w:val="00F51F06"/>
    <w:rsid w:val="00F52003"/>
    <w:rsid w:val="00F52FCD"/>
    <w:rsid w:val="00F53603"/>
    <w:rsid w:val="00F5368D"/>
    <w:rsid w:val="00F53866"/>
    <w:rsid w:val="00F53A75"/>
    <w:rsid w:val="00F53B9B"/>
    <w:rsid w:val="00F53B9F"/>
    <w:rsid w:val="00F53D99"/>
    <w:rsid w:val="00F53ED2"/>
    <w:rsid w:val="00F53FEA"/>
    <w:rsid w:val="00F5521F"/>
    <w:rsid w:val="00F60460"/>
    <w:rsid w:val="00F608B1"/>
    <w:rsid w:val="00F60DD9"/>
    <w:rsid w:val="00F615D0"/>
    <w:rsid w:val="00F62084"/>
    <w:rsid w:val="00F622DB"/>
    <w:rsid w:val="00F62598"/>
    <w:rsid w:val="00F628A2"/>
    <w:rsid w:val="00F62C6B"/>
    <w:rsid w:val="00F62DC6"/>
    <w:rsid w:val="00F63263"/>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233"/>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0BC7"/>
    <w:rsid w:val="00FE1721"/>
    <w:rsid w:val="00FE18D0"/>
    <w:rsid w:val="00FE1A14"/>
    <w:rsid w:val="00FE1F4E"/>
    <w:rsid w:val="00FE2404"/>
    <w:rsid w:val="00FE257E"/>
    <w:rsid w:val="00FE2C51"/>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B32"/>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character" w:customStyle="1" w:styleId="EQChar">
    <w:name w:val="EQ Char"/>
    <w:link w:val="EQ"/>
    <w:qFormat/>
    <w:locked/>
    <w:rsid w:val="00480430"/>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1441266">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5710">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0689743">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4584036">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7512279">
      <w:bodyDiv w:val="1"/>
      <w:marLeft w:val="0"/>
      <w:marRight w:val="0"/>
      <w:marTop w:val="0"/>
      <w:marBottom w:val="0"/>
      <w:divBdr>
        <w:top w:val="none" w:sz="0" w:space="0" w:color="auto"/>
        <w:left w:val="none" w:sz="0" w:space="0" w:color="auto"/>
        <w:bottom w:val="none" w:sz="0" w:space="0" w:color="auto"/>
        <w:right w:val="none" w:sz="0" w:space="0" w:color="auto"/>
      </w:divBdr>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7562575">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1928139">
      <w:bodyDiv w:val="1"/>
      <w:marLeft w:val="0"/>
      <w:marRight w:val="0"/>
      <w:marTop w:val="0"/>
      <w:marBottom w:val="0"/>
      <w:divBdr>
        <w:top w:val="none" w:sz="0" w:space="0" w:color="auto"/>
        <w:left w:val="none" w:sz="0" w:space="0" w:color="auto"/>
        <w:bottom w:val="none" w:sz="0" w:space="0" w:color="auto"/>
        <w:right w:val="none" w:sz="0" w:space="0" w:color="auto"/>
      </w:divBdr>
      <w:divsChild>
        <w:div w:id="1664042951">
          <w:marLeft w:val="0"/>
          <w:marRight w:val="0"/>
          <w:marTop w:val="0"/>
          <w:marBottom w:val="0"/>
          <w:divBdr>
            <w:top w:val="none" w:sz="0" w:space="0" w:color="auto"/>
            <w:left w:val="none" w:sz="0" w:space="0" w:color="auto"/>
            <w:bottom w:val="none" w:sz="0" w:space="0" w:color="auto"/>
            <w:right w:val="none" w:sz="0" w:space="0" w:color="auto"/>
          </w:divBdr>
          <w:divsChild>
            <w:div w:id="1527788240">
              <w:marLeft w:val="0"/>
              <w:marRight w:val="0"/>
              <w:marTop w:val="0"/>
              <w:marBottom w:val="0"/>
              <w:divBdr>
                <w:top w:val="none" w:sz="0" w:space="0" w:color="auto"/>
                <w:left w:val="none" w:sz="0" w:space="0" w:color="auto"/>
                <w:bottom w:val="none" w:sz="0" w:space="0" w:color="auto"/>
                <w:right w:val="none" w:sz="0" w:space="0" w:color="auto"/>
              </w:divBdr>
              <w:divsChild>
                <w:div w:id="1753042792">
                  <w:marLeft w:val="0"/>
                  <w:marRight w:val="0"/>
                  <w:marTop w:val="0"/>
                  <w:marBottom w:val="0"/>
                  <w:divBdr>
                    <w:top w:val="none" w:sz="0" w:space="0" w:color="auto"/>
                    <w:left w:val="none" w:sz="0" w:space="0" w:color="auto"/>
                    <w:bottom w:val="none" w:sz="0" w:space="0" w:color="auto"/>
                    <w:right w:val="none" w:sz="0" w:space="0" w:color="auto"/>
                  </w:divBdr>
                  <w:divsChild>
                    <w:div w:id="176561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6855426">
      <w:bodyDiv w:val="1"/>
      <w:marLeft w:val="0"/>
      <w:marRight w:val="0"/>
      <w:marTop w:val="0"/>
      <w:marBottom w:val="0"/>
      <w:divBdr>
        <w:top w:val="none" w:sz="0" w:space="0" w:color="auto"/>
        <w:left w:val="none" w:sz="0" w:space="0" w:color="auto"/>
        <w:bottom w:val="none" w:sz="0" w:space="0" w:color="auto"/>
        <w:right w:val="none" w:sz="0" w:space="0" w:color="auto"/>
      </w:divBdr>
      <w:divsChild>
        <w:div w:id="1720861092">
          <w:marLeft w:val="0"/>
          <w:marRight w:val="0"/>
          <w:marTop w:val="0"/>
          <w:marBottom w:val="0"/>
          <w:divBdr>
            <w:top w:val="none" w:sz="0" w:space="0" w:color="auto"/>
            <w:left w:val="none" w:sz="0" w:space="0" w:color="auto"/>
            <w:bottom w:val="none" w:sz="0" w:space="0" w:color="auto"/>
            <w:right w:val="none" w:sz="0" w:space="0" w:color="auto"/>
          </w:divBdr>
          <w:divsChild>
            <w:div w:id="1341589884">
              <w:marLeft w:val="0"/>
              <w:marRight w:val="0"/>
              <w:marTop w:val="0"/>
              <w:marBottom w:val="0"/>
              <w:divBdr>
                <w:top w:val="none" w:sz="0" w:space="0" w:color="auto"/>
                <w:left w:val="none" w:sz="0" w:space="0" w:color="auto"/>
                <w:bottom w:val="none" w:sz="0" w:space="0" w:color="auto"/>
                <w:right w:val="none" w:sz="0" w:space="0" w:color="auto"/>
              </w:divBdr>
              <w:divsChild>
                <w:div w:id="114905613">
                  <w:marLeft w:val="0"/>
                  <w:marRight w:val="0"/>
                  <w:marTop w:val="0"/>
                  <w:marBottom w:val="0"/>
                  <w:divBdr>
                    <w:top w:val="none" w:sz="0" w:space="0" w:color="auto"/>
                    <w:left w:val="none" w:sz="0" w:space="0" w:color="auto"/>
                    <w:bottom w:val="none" w:sz="0" w:space="0" w:color="auto"/>
                    <w:right w:val="none" w:sz="0" w:space="0" w:color="auto"/>
                  </w:divBdr>
                  <w:divsChild>
                    <w:div w:id="193994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0857951">
      <w:bodyDiv w:val="1"/>
      <w:marLeft w:val="0"/>
      <w:marRight w:val="0"/>
      <w:marTop w:val="0"/>
      <w:marBottom w:val="0"/>
      <w:divBdr>
        <w:top w:val="none" w:sz="0" w:space="0" w:color="auto"/>
        <w:left w:val="none" w:sz="0" w:space="0" w:color="auto"/>
        <w:bottom w:val="none" w:sz="0" w:space="0" w:color="auto"/>
        <w:right w:val="none" w:sz="0" w:space="0" w:color="auto"/>
      </w:divBdr>
    </w:div>
    <w:div w:id="1384256840">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1594831">
      <w:bodyDiv w:val="1"/>
      <w:marLeft w:val="0"/>
      <w:marRight w:val="0"/>
      <w:marTop w:val="0"/>
      <w:marBottom w:val="0"/>
      <w:divBdr>
        <w:top w:val="none" w:sz="0" w:space="0" w:color="auto"/>
        <w:left w:val="none" w:sz="0" w:space="0" w:color="auto"/>
        <w:bottom w:val="none" w:sz="0" w:space="0" w:color="auto"/>
        <w:right w:val="none" w:sz="0" w:space="0" w:color="auto"/>
      </w:divBdr>
    </w:div>
    <w:div w:id="1771584255">
      <w:bodyDiv w:val="1"/>
      <w:marLeft w:val="0"/>
      <w:marRight w:val="0"/>
      <w:marTop w:val="0"/>
      <w:marBottom w:val="0"/>
      <w:divBdr>
        <w:top w:val="none" w:sz="0" w:space="0" w:color="auto"/>
        <w:left w:val="none" w:sz="0" w:space="0" w:color="auto"/>
        <w:bottom w:val="none" w:sz="0" w:space="0" w:color="auto"/>
        <w:right w:val="none" w:sz="0" w:space="0" w:color="auto"/>
      </w:divBdr>
      <w:divsChild>
        <w:div w:id="789591263">
          <w:marLeft w:val="0"/>
          <w:marRight w:val="0"/>
          <w:marTop w:val="0"/>
          <w:marBottom w:val="0"/>
          <w:divBdr>
            <w:top w:val="none" w:sz="0" w:space="0" w:color="auto"/>
            <w:left w:val="none" w:sz="0" w:space="0" w:color="auto"/>
            <w:bottom w:val="none" w:sz="0" w:space="0" w:color="auto"/>
            <w:right w:val="none" w:sz="0" w:space="0" w:color="auto"/>
          </w:divBdr>
          <w:divsChild>
            <w:div w:id="1882012804">
              <w:marLeft w:val="0"/>
              <w:marRight w:val="0"/>
              <w:marTop w:val="0"/>
              <w:marBottom w:val="0"/>
              <w:divBdr>
                <w:top w:val="none" w:sz="0" w:space="0" w:color="auto"/>
                <w:left w:val="none" w:sz="0" w:space="0" w:color="auto"/>
                <w:bottom w:val="none" w:sz="0" w:space="0" w:color="auto"/>
                <w:right w:val="none" w:sz="0" w:space="0" w:color="auto"/>
              </w:divBdr>
              <w:divsChild>
                <w:div w:id="1068966757">
                  <w:marLeft w:val="0"/>
                  <w:marRight w:val="0"/>
                  <w:marTop w:val="0"/>
                  <w:marBottom w:val="0"/>
                  <w:divBdr>
                    <w:top w:val="none" w:sz="0" w:space="0" w:color="auto"/>
                    <w:left w:val="none" w:sz="0" w:space="0" w:color="auto"/>
                    <w:bottom w:val="none" w:sz="0" w:space="0" w:color="auto"/>
                    <w:right w:val="none" w:sz="0" w:space="0" w:color="auto"/>
                  </w:divBdr>
                  <w:divsChild>
                    <w:div w:id="15473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778751">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56154738">
      <w:bodyDiv w:val="1"/>
      <w:marLeft w:val="0"/>
      <w:marRight w:val="0"/>
      <w:marTop w:val="0"/>
      <w:marBottom w:val="0"/>
      <w:divBdr>
        <w:top w:val="none" w:sz="0" w:space="0" w:color="auto"/>
        <w:left w:val="none" w:sz="0" w:space="0" w:color="auto"/>
        <w:bottom w:val="none" w:sz="0" w:space="0" w:color="auto"/>
        <w:right w:val="none" w:sz="0" w:space="0" w:color="auto"/>
      </w:divBdr>
      <w:divsChild>
        <w:div w:id="1512186602">
          <w:marLeft w:val="0"/>
          <w:marRight w:val="0"/>
          <w:marTop w:val="0"/>
          <w:marBottom w:val="0"/>
          <w:divBdr>
            <w:top w:val="none" w:sz="0" w:space="0" w:color="auto"/>
            <w:left w:val="none" w:sz="0" w:space="0" w:color="auto"/>
            <w:bottom w:val="none" w:sz="0" w:space="0" w:color="auto"/>
            <w:right w:val="none" w:sz="0" w:space="0" w:color="auto"/>
          </w:divBdr>
          <w:divsChild>
            <w:div w:id="1943341916">
              <w:marLeft w:val="0"/>
              <w:marRight w:val="0"/>
              <w:marTop w:val="0"/>
              <w:marBottom w:val="0"/>
              <w:divBdr>
                <w:top w:val="none" w:sz="0" w:space="0" w:color="auto"/>
                <w:left w:val="none" w:sz="0" w:space="0" w:color="auto"/>
                <w:bottom w:val="none" w:sz="0" w:space="0" w:color="auto"/>
                <w:right w:val="none" w:sz="0" w:space="0" w:color="auto"/>
              </w:divBdr>
              <w:divsChild>
                <w:div w:id="937179790">
                  <w:marLeft w:val="0"/>
                  <w:marRight w:val="0"/>
                  <w:marTop w:val="0"/>
                  <w:marBottom w:val="0"/>
                  <w:divBdr>
                    <w:top w:val="none" w:sz="0" w:space="0" w:color="auto"/>
                    <w:left w:val="none" w:sz="0" w:space="0" w:color="auto"/>
                    <w:bottom w:val="none" w:sz="0" w:space="0" w:color="auto"/>
                    <w:right w:val="none" w:sz="0" w:space="0" w:color="auto"/>
                  </w:divBdr>
                  <w:divsChild>
                    <w:div w:id="80219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6396998">
      <w:bodyDiv w:val="1"/>
      <w:marLeft w:val="0"/>
      <w:marRight w:val="0"/>
      <w:marTop w:val="0"/>
      <w:marBottom w:val="0"/>
      <w:divBdr>
        <w:top w:val="none" w:sz="0" w:space="0" w:color="auto"/>
        <w:left w:val="none" w:sz="0" w:space="0" w:color="auto"/>
        <w:bottom w:val="none" w:sz="0" w:space="0" w:color="auto"/>
        <w:right w:val="none" w:sz="0" w:space="0" w:color="auto"/>
      </w:divBdr>
      <w:divsChild>
        <w:div w:id="2127658219">
          <w:marLeft w:val="0"/>
          <w:marRight w:val="0"/>
          <w:marTop w:val="0"/>
          <w:marBottom w:val="0"/>
          <w:divBdr>
            <w:top w:val="none" w:sz="0" w:space="0" w:color="auto"/>
            <w:left w:val="none" w:sz="0" w:space="0" w:color="auto"/>
            <w:bottom w:val="none" w:sz="0" w:space="0" w:color="auto"/>
            <w:right w:val="none" w:sz="0" w:space="0" w:color="auto"/>
          </w:divBdr>
          <w:divsChild>
            <w:div w:id="277419870">
              <w:marLeft w:val="0"/>
              <w:marRight w:val="0"/>
              <w:marTop w:val="0"/>
              <w:marBottom w:val="0"/>
              <w:divBdr>
                <w:top w:val="none" w:sz="0" w:space="0" w:color="auto"/>
                <w:left w:val="none" w:sz="0" w:space="0" w:color="auto"/>
                <w:bottom w:val="none" w:sz="0" w:space="0" w:color="auto"/>
                <w:right w:val="none" w:sz="0" w:space="0" w:color="auto"/>
              </w:divBdr>
              <w:divsChild>
                <w:div w:id="211898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TotalTime>
  <Pages>6</Pages>
  <Words>2415</Words>
  <Characters>13767</Characters>
  <Application>Microsoft Office Word</Application>
  <DocSecurity>0</DocSecurity>
  <Lines>114</Lines>
  <Paragraphs>32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RAN4#111-[Apple_Jerry Cui] </cp:lastModifiedBy>
  <cp:revision>10</cp:revision>
  <cp:lastPrinted>2016-08-05T18:54:00Z</cp:lastPrinted>
  <dcterms:created xsi:type="dcterms:W3CDTF">2024-05-08T05:45:00Z</dcterms:created>
  <dcterms:modified xsi:type="dcterms:W3CDTF">2024-05-13T05:04:00Z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